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C6B1" w14:textId="77777777" w:rsidR="00FD3333" w:rsidRPr="001C5BBE" w:rsidRDefault="00FD3333" w:rsidP="001C5BBE">
      <w:pPr>
        <w:pStyle w:val="Header"/>
        <w:tabs>
          <w:tab w:val="clear" w:pos="4320"/>
          <w:tab w:val="clear" w:pos="8640"/>
        </w:tabs>
        <w:spacing w:line="288" w:lineRule="auto"/>
        <w:rPr>
          <w:rFonts w:ascii="Arial" w:hAnsi="Arial" w:cs="Arial"/>
        </w:rPr>
        <w:sectPr w:rsidR="00FD3333" w:rsidRPr="001C5BBE" w:rsidSect="002843DD">
          <w:headerReference w:type="default" r:id="rId8"/>
          <w:footerReference w:type="default" r:id="rId9"/>
          <w:pgSz w:w="12240" w:h="15840"/>
          <w:pgMar w:top="1440" w:right="1440" w:bottom="720" w:left="1930" w:header="720" w:footer="720" w:gutter="0"/>
          <w:cols w:space="720"/>
          <w:docGrid w:linePitch="360"/>
        </w:sectPr>
      </w:pPr>
    </w:p>
    <w:p w14:paraId="785AF0CD" w14:textId="639CD5DA" w:rsidR="00F82DE9" w:rsidRPr="00F82DE9" w:rsidRDefault="006A5D68" w:rsidP="00F82DE9">
      <w:pPr>
        <w:jc w:val="center"/>
        <w:rPr>
          <w:rFonts w:ascii="Calibri" w:eastAsia="Calibri" w:hAnsi="Calibri" w:cs="Times New Roman"/>
          <w:sz w:val="22"/>
          <w:szCs w:val="22"/>
        </w:rPr>
      </w:pPr>
      <w:r>
        <w:rPr>
          <w:rFonts w:ascii="Calibri" w:eastAsia="Calibri" w:hAnsi="Calibri" w:cs="Times New Roman"/>
          <w:b/>
          <w:sz w:val="22"/>
          <w:szCs w:val="22"/>
          <w:u w:val="single"/>
        </w:rPr>
        <w:t xml:space="preserve">BASICS OF </w:t>
      </w:r>
      <w:r w:rsidR="00F82DE9" w:rsidRPr="00F82DE9">
        <w:rPr>
          <w:rFonts w:ascii="Calibri" w:eastAsia="Calibri" w:hAnsi="Calibri" w:cs="Times New Roman"/>
          <w:b/>
          <w:sz w:val="22"/>
          <w:szCs w:val="22"/>
          <w:u w:val="single"/>
        </w:rPr>
        <w:t>MARYLAND ESTATE CONVEYANCES AND DEATH TAXES</w:t>
      </w:r>
      <w:r>
        <w:rPr>
          <w:rFonts w:ascii="Calibri" w:eastAsia="Calibri" w:hAnsi="Calibri" w:cs="Times New Roman"/>
          <w:b/>
          <w:sz w:val="22"/>
          <w:szCs w:val="22"/>
          <w:u w:val="single"/>
        </w:rPr>
        <w:t xml:space="preserve"> </w:t>
      </w:r>
      <w:r w:rsidR="00AA3F8E" w:rsidRPr="00AA3F8E">
        <w:rPr>
          <w:rFonts w:ascii="Calibri" w:eastAsia="Calibri" w:hAnsi="Calibri" w:cs="Times New Roman"/>
          <w:i/>
          <w:sz w:val="22"/>
          <w:szCs w:val="22"/>
          <w:u w:val="single"/>
        </w:rPr>
        <w:t xml:space="preserve"> (Updated </w:t>
      </w:r>
      <w:r w:rsidR="00760108">
        <w:rPr>
          <w:rFonts w:ascii="Calibri" w:eastAsia="Calibri" w:hAnsi="Calibri" w:cs="Times New Roman"/>
          <w:i/>
          <w:sz w:val="22"/>
          <w:szCs w:val="22"/>
          <w:u w:val="single"/>
        </w:rPr>
        <w:t>08.20.2</w:t>
      </w:r>
      <w:r w:rsidR="00AB303B">
        <w:rPr>
          <w:rFonts w:ascii="Calibri" w:eastAsia="Calibri" w:hAnsi="Calibri" w:cs="Times New Roman"/>
          <w:i/>
          <w:sz w:val="22"/>
          <w:szCs w:val="22"/>
          <w:u w:val="single"/>
        </w:rPr>
        <w:t>1</w:t>
      </w:r>
      <w:r w:rsidR="00AA3F8E" w:rsidRPr="00AA3F8E">
        <w:rPr>
          <w:rFonts w:ascii="Calibri" w:eastAsia="Calibri" w:hAnsi="Calibri" w:cs="Times New Roman"/>
          <w:i/>
          <w:sz w:val="22"/>
          <w:szCs w:val="22"/>
          <w:u w:val="single"/>
        </w:rPr>
        <w:t>)</w:t>
      </w:r>
    </w:p>
    <w:p w14:paraId="53D4CFF3" w14:textId="77777777" w:rsidR="00F82DE9" w:rsidRPr="00F82DE9" w:rsidRDefault="00F82DE9" w:rsidP="00F82DE9">
      <w:pPr>
        <w:jc w:val="center"/>
        <w:rPr>
          <w:rFonts w:ascii="Calibri" w:eastAsia="Calibri" w:hAnsi="Calibri" w:cs="Times New Roman"/>
          <w:sz w:val="22"/>
          <w:szCs w:val="22"/>
        </w:rPr>
      </w:pPr>
    </w:p>
    <w:p w14:paraId="263A7146" w14:textId="77777777" w:rsidR="00F82DE9" w:rsidRPr="00F82DE9" w:rsidRDefault="00F82DE9" w:rsidP="00F82DE9">
      <w:pPr>
        <w:numPr>
          <w:ilvl w:val="0"/>
          <w:numId w:val="1"/>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u w:val="single"/>
        </w:rPr>
        <w:t>MARYLAND DOMESTIC ESTATE</w:t>
      </w:r>
    </w:p>
    <w:p w14:paraId="2B1855A9" w14:textId="77777777" w:rsidR="00F82DE9" w:rsidRPr="00F82DE9" w:rsidRDefault="00F82DE9" w:rsidP="00F82DE9">
      <w:pPr>
        <w:rPr>
          <w:rFonts w:ascii="Calibri" w:eastAsia="Calibri" w:hAnsi="Calibri" w:cs="Times New Roman"/>
          <w:sz w:val="22"/>
          <w:szCs w:val="22"/>
        </w:rPr>
      </w:pPr>
    </w:p>
    <w:p w14:paraId="5F9AF5F5"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Who holds legal title to property upon death?</w:t>
      </w:r>
    </w:p>
    <w:p w14:paraId="56DA8F5F" w14:textId="77777777" w:rsidR="00F82DE9" w:rsidRPr="00F82DE9" w:rsidRDefault="00F82DE9" w:rsidP="00F82DE9">
      <w:pPr>
        <w:ind w:left="360"/>
        <w:rPr>
          <w:rFonts w:ascii="Calibri" w:eastAsia="Calibri" w:hAnsi="Calibri" w:cs="Times New Roman"/>
          <w:sz w:val="22"/>
          <w:szCs w:val="22"/>
        </w:rPr>
      </w:pPr>
    </w:p>
    <w:p w14:paraId="19BB0169" w14:textId="77777777" w:rsidR="00F82DE9" w:rsidRPr="00F82DE9" w:rsidRDefault="00F82DE9" w:rsidP="00F82DE9">
      <w:pPr>
        <w:numPr>
          <w:ilvl w:val="0"/>
          <w:numId w:val="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For persons dying </w:t>
      </w:r>
      <w:r w:rsidRPr="00760108">
        <w:rPr>
          <w:rFonts w:ascii="Calibri" w:eastAsia="Calibri" w:hAnsi="Calibri" w:cs="Times New Roman"/>
          <w:sz w:val="22"/>
          <w:szCs w:val="22"/>
          <w:u w:val="single"/>
        </w:rPr>
        <w:t>as of</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January 1, 1970</w:t>
      </w:r>
      <w:r w:rsidRPr="00F82DE9">
        <w:rPr>
          <w:rFonts w:ascii="Calibri" w:eastAsia="Calibri" w:hAnsi="Calibri" w:cs="Times New Roman"/>
          <w:sz w:val="22"/>
          <w:szCs w:val="22"/>
        </w:rPr>
        <w:t xml:space="preserve">, all legal title to real and personal property of a decedent passes directly (by operation of law) to the </w:t>
      </w:r>
      <w:r w:rsidRPr="00F82DE9">
        <w:rPr>
          <w:rFonts w:ascii="Calibri" w:eastAsia="Calibri" w:hAnsi="Calibri" w:cs="Times New Roman"/>
          <w:sz w:val="22"/>
          <w:szCs w:val="22"/>
          <w:u w:val="single"/>
        </w:rPr>
        <w:t>personal representative</w:t>
      </w:r>
      <w:r w:rsidRPr="00F82DE9">
        <w:rPr>
          <w:rFonts w:ascii="Calibri" w:eastAsia="Calibri" w:hAnsi="Calibri" w:cs="Times New Roman"/>
          <w:sz w:val="22"/>
          <w:szCs w:val="22"/>
        </w:rPr>
        <w:t>, who holds legal title for the purposes of administration and distribution pursuant to the last will and testament of the decedent or where no will exists, pursuant to the laws of intestacy. (Section 1-301 of the Estates and Trusts Article of the MD Code).</w:t>
      </w:r>
    </w:p>
    <w:p w14:paraId="3631E114" w14:textId="77777777" w:rsidR="00F82DE9" w:rsidRPr="00F82DE9" w:rsidRDefault="00F82DE9" w:rsidP="00F82DE9">
      <w:pPr>
        <w:ind w:left="720"/>
        <w:rPr>
          <w:rFonts w:ascii="Calibri" w:eastAsia="Calibri" w:hAnsi="Calibri" w:cs="Times New Roman"/>
          <w:sz w:val="22"/>
          <w:szCs w:val="22"/>
        </w:rPr>
      </w:pPr>
    </w:p>
    <w:p w14:paraId="32947E21" w14:textId="7276D316" w:rsidR="00F82DE9" w:rsidRPr="00F82DE9" w:rsidRDefault="00F82DE9" w:rsidP="00F82DE9">
      <w:pPr>
        <w:numPr>
          <w:ilvl w:val="0"/>
          <w:numId w:val="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For persons dying </w:t>
      </w:r>
      <w:r w:rsidRPr="00F82DE9">
        <w:rPr>
          <w:rFonts w:ascii="Calibri" w:eastAsia="Calibri" w:hAnsi="Calibri" w:cs="Times New Roman"/>
          <w:b/>
          <w:sz w:val="22"/>
          <w:szCs w:val="22"/>
          <w:u w:val="single"/>
        </w:rPr>
        <w:t>prior</w:t>
      </w:r>
      <w:r w:rsidRPr="00F82DE9">
        <w:rPr>
          <w:rFonts w:ascii="Calibri" w:eastAsia="Calibri" w:hAnsi="Calibri" w:cs="Times New Roman"/>
          <w:sz w:val="22"/>
          <w:szCs w:val="22"/>
          <w:u w:val="single"/>
        </w:rPr>
        <w:t xml:space="preserve"> to January 1, 1970</w:t>
      </w:r>
      <w:r w:rsidRPr="00F82DE9">
        <w:rPr>
          <w:rFonts w:ascii="Calibri" w:eastAsia="Calibri" w:hAnsi="Calibri" w:cs="Times New Roman"/>
          <w:sz w:val="22"/>
          <w:szCs w:val="22"/>
        </w:rPr>
        <w:t xml:space="preserve">, title to real property passed directly to the </w:t>
      </w:r>
      <w:r w:rsidRPr="00F82DE9">
        <w:rPr>
          <w:rFonts w:ascii="Calibri" w:eastAsia="Calibri" w:hAnsi="Calibri" w:cs="Times New Roman"/>
          <w:sz w:val="22"/>
          <w:szCs w:val="22"/>
          <w:u w:val="single"/>
        </w:rPr>
        <w:t>heirs at law</w:t>
      </w:r>
      <w:r w:rsidRPr="00F82DE9">
        <w:rPr>
          <w:rFonts w:ascii="Calibri" w:eastAsia="Calibri" w:hAnsi="Calibri" w:cs="Times New Roman"/>
          <w:sz w:val="22"/>
          <w:szCs w:val="22"/>
        </w:rPr>
        <w:t xml:space="preserve"> of the decedent or </w:t>
      </w:r>
      <w:r w:rsidRPr="00F82DE9">
        <w:rPr>
          <w:rFonts w:ascii="Calibri" w:eastAsia="Calibri" w:hAnsi="Calibri" w:cs="Times New Roman"/>
          <w:sz w:val="22"/>
          <w:szCs w:val="22"/>
          <w:u w:val="single"/>
        </w:rPr>
        <w:t>devisees under the decedent’s probated will</w:t>
      </w:r>
      <w:r w:rsidRPr="00F82DE9">
        <w:rPr>
          <w:rFonts w:ascii="Calibri" w:eastAsia="Calibri" w:hAnsi="Calibri" w:cs="Times New Roman"/>
          <w:sz w:val="22"/>
          <w:szCs w:val="22"/>
        </w:rPr>
        <w:t>. The personal representative/executor of the estate, unless expressly indicated in the will, ha</w:t>
      </w:r>
      <w:r w:rsidR="00760108">
        <w:rPr>
          <w:rFonts w:ascii="Calibri" w:eastAsia="Calibri" w:hAnsi="Calibri" w:cs="Times New Roman"/>
          <w:sz w:val="22"/>
          <w:szCs w:val="22"/>
        </w:rPr>
        <w:t>s</w:t>
      </w:r>
      <w:r w:rsidRPr="00F82DE9">
        <w:rPr>
          <w:rFonts w:ascii="Calibri" w:eastAsia="Calibri" w:hAnsi="Calibri" w:cs="Times New Roman"/>
          <w:sz w:val="22"/>
          <w:szCs w:val="22"/>
        </w:rPr>
        <w:t xml:space="preserve"> no title to the real property. </w:t>
      </w:r>
      <w:r w:rsidRPr="00F82DE9">
        <w:rPr>
          <w:rFonts w:ascii="Calibri" w:eastAsia="Calibri" w:hAnsi="Calibri" w:cs="Times New Roman"/>
          <w:sz w:val="22"/>
          <w:szCs w:val="22"/>
          <w:u w:val="single"/>
        </w:rPr>
        <w:t>Goldman v. Walker</w:t>
      </w:r>
      <w:r w:rsidRPr="00F82DE9">
        <w:rPr>
          <w:rFonts w:ascii="Calibri" w:eastAsia="Calibri" w:hAnsi="Calibri" w:cs="Times New Roman"/>
          <w:sz w:val="22"/>
          <w:szCs w:val="22"/>
        </w:rPr>
        <w:t>, 260 Md. 222, 271 A.2d 639 (1970) (Section 1-301 of the Estates and Trusts Article).</w:t>
      </w:r>
    </w:p>
    <w:p w14:paraId="05B784DE" w14:textId="77777777" w:rsidR="00F82DE9" w:rsidRPr="00F82DE9" w:rsidRDefault="00F82DE9" w:rsidP="00F82DE9">
      <w:pPr>
        <w:ind w:left="720"/>
        <w:rPr>
          <w:rFonts w:ascii="Calibri" w:eastAsia="Calibri" w:hAnsi="Calibri" w:cs="Times New Roman"/>
          <w:sz w:val="22"/>
          <w:szCs w:val="22"/>
        </w:rPr>
      </w:pPr>
    </w:p>
    <w:p w14:paraId="6C70FA0F"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Power of Personal Representative/Authority to Convey</w:t>
      </w:r>
    </w:p>
    <w:p w14:paraId="4536013E" w14:textId="77777777" w:rsidR="00F82DE9" w:rsidRPr="00F82DE9" w:rsidRDefault="00F82DE9" w:rsidP="00F82DE9">
      <w:pPr>
        <w:ind w:left="360"/>
        <w:rPr>
          <w:rFonts w:ascii="Calibri" w:eastAsia="Calibri" w:hAnsi="Calibri" w:cs="Times New Roman"/>
          <w:b/>
          <w:sz w:val="22"/>
          <w:szCs w:val="22"/>
        </w:rPr>
      </w:pPr>
    </w:p>
    <w:p w14:paraId="43DA81AA" w14:textId="77777777" w:rsidR="00F82DE9" w:rsidRPr="00F82DE9" w:rsidRDefault="00F82DE9" w:rsidP="00F82DE9">
      <w:pPr>
        <w:numPr>
          <w:ilvl w:val="0"/>
          <w:numId w:val="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For deaths occurring </w:t>
      </w:r>
      <w:r w:rsidRPr="00F82DE9">
        <w:rPr>
          <w:rFonts w:ascii="Calibri" w:eastAsia="Calibri" w:hAnsi="Calibri" w:cs="Times New Roman"/>
          <w:b/>
          <w:sz w:val="22"/>
          <w:szCs w:val="22"/>
          <w:u w:val="single"/>
        </w:rPr>
        <w:t>on or after</w:t>
      </w:r>
      <w:r w:rsidRPr="00F82DE9">
        <w:rPr>
          <w:rFonts w:ascii="Calibri" w:eastAsia="Calibri" w:hAnsi="Calibri" w:cs="Times New Roman"/>
          <w:sz w:val="22"/>
          <w:szCs w:val="22"/>
          <w:u w:val="single"/>
        </w:rPr>
        <w:t xml:space="preserve"> January 1, 1970</w:t>
      </w:r>
      <w:r w:rsidRPr="00F82DE9">
        <w:rPr>
          <w:rFonts w:ascii="Calibri" w:eastAsia="Calibri" w:hAnsi="Calibri" w:cs="Times New Roman"/>
          <w:sz w:val="22"/>
          <w:szCs w:val="22"/>
        </w:rPr>
        <w:t xml:space="preserve">, the power and authority of a personal representative to convey real property is derived from the general power of sale pursuant to Estates and Trusts Article, Section 7-401(n), whereby a personal representative may “. . . invest, sell, mortgage, pledge, exchange, or lease property.” Additionally, the power of the personal representative to convey real property is derived from the provisions of the decedent’s last will and testament. The authority of the personal representative to convey real property is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conditioned </w:t>
      </w:r>
      <w:r w:rsidRPr="00F82DE9">
        <w:rPr>
          <w:rFonts w:ascii="Calibri" w:eastAsia="Calibri" w:hAnsi="Calibri" w:cs="Times New Roman"/>
          <w:sz w:val="22"/>
          <w:szCs w:val="22"/>
          <w:u w:val="single"/>
        </w:rPr>
        <w:t>upon the grant of an order of the Orphan’s Court</w:t>
      </w:r>
      <w:r w:rsidRPr="00F82DE9">
        <w:rPr>
          <w:rFonts w:ascii="Calibri" w:eastAsia="Calibri" w:hAnsi="Calibri" w:cs="Times New Roman"/>
          <w:sz w:val="22"/>
          <w:szCs w:val="22"/>
        </w:rPr>
        <w:t xml:space="preserve"> of the county where the estate is being probated unless the will specifically prohibits the personal representative from selling (so </w:t>
      </w:r>
      <w:r w:rsidRPr="00F82DE9">
        <w:rPr>
          <w:rFonts w:ascii="Calibri" w:eastAsia="Calibri" w:hAnsi="Calibri" w:cs="Times New Roman"/>
          <w:sz w:val="22"/>
          <w:szCs w:val="22"/>
          <w:u w:val="single"/>
        </w:rPr>
        <w:t>no</w:t>
      </w:r>
      <w:r w:rsidRPr="00F82DE9">
        <w:rPr>
          <w:rFonts w:ascii="Calibri" w:eastAsia="Calibri" w:hAnsi="Calibri" w:cs="Times New Roman"/>
          <w:sz w:val="22"/>
          <w:szCs w:val="22"/>
        </w:rPr>
        <w:t xml:space="preserve"> court order is typically needed).</w:t>
      </w:r>
    </w:p>
    <w:p w14:paraId="30AD1DF1" w14:textId="77777777" w:rsidR="00F82DE9" w:rsidRPr="00F82DE9" w:rsidRDefault="00F82DE9" w:rsidP="00F82DE9">
      <w:pPr>
        <w:numPr>
          <w:ilvl w:val="0"/>
          <w:numId w:val="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deed from the personal representative is required.</w:t>
      </w:r>
    </w:p>
    <w:p w14:paraId="7C626F74" w14:textId="77777777" w:rsidR="00F82DE9" w:rsidRPr="00F82DE9" w:rsidRDefault="00F82DE9" w:rsidP="00F82DE9">
      <w:pPr>
        <w:numPr>
          <w:ilvl w:val="0"/>
          <w:numId w:val="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If the will devises </w:t>
      </w:r>
      <w:r w:rsidRPr="00F82DE9">
        <w:rPr>
          <w:rFonts w:ascii="Calibri" w:eastAsia="Calibri" w:hAnsi="Calibri" w:cs="Times New Roman"/>
          <w:sz w:val="22"/>
          <w:szCs w:val="22"/>
          <w:u w:val="single"/>
        </w:rPr>
        <w:t>specific real property</w:t>
      </w:r>
      <w:r w:rsidRPr="00F82DE9">
        <w:rPr>
          <w:rFonts w:ascii="Calibri" w:eastAsia="Calibri" w:hAnsi="Calibri" w:cs="Times New Roman"/>
          <w:sz w:val="22"/>
          <w:szCs w:val="22"/>
        </w:rPr>
        <w:t xml:space="preserve"> to a </w:t>
      </w:r>
      <w:r w:rsidRPr="00F82DE9">
        <w:rPr>
          <w:rFonts w:ascii="Calibri" w:eastAsia="Calibri" w:hAnsi="Calibri" w:cs="Times New Roman"/>
          <w:sz w:val="22"/>
          <w:szCs w:val="22"/>
          <w:u w:val="single"/>
        </w:rPr>
        <w:t>specific individual</w:t>
      </w:r>
      <w:r w:rsidRPr="00F82DE9">
        <w:rPr>
          <w:rFonts w:ascii="Calibri" w:eastAsia="Calibri" w:hAnsi="Calibri" w:cs="Times New Roman"/>
          <w:sz w:val="22"/>
          <w:szCs w:val="22"/>
        </w:rPr>
        <w:t xml:space="preserve"> (which is not usually the case), that specific devisee (individual) should join in signing the deed (along with the personal representative) to acknowledge his or her </w:t>
      </w:r>
      <w:r w:rsidRPr="00F82DE9">
        <w:rPr>
          <w:rFonts w:ascii="Calibri" w:eastAsia="Calibri" w:hAnsi="Calibri" w:cs="Times New Roman"/>
          <w:sz w:val="22"/>
          <w:szCs w:val="22"/>
          <w:u w:val="single"/>
        </w:rPr>
        <w:t>consent</w:t>
      </w:r>
      <w:r w:rsidRPr="00F82DE9">
        <w:rPr>
          <w:rFonts w:ascii="Calibri" w:eastAsia="Calibri" w:hAnsi="Calibri" w:cs="Times New Roman"/>
          <w:sz w:val="22"/>
          <w:szCs w:val="22"/>
        </w:rPr>
        <w:t xml:space="preserve"> to the transfer of real property to a bona fide purchaser. In lieu of the specific devisee joining in the deed, the specific devisee should sign an affidavit indicating his or her consent to the transfer. The affidavit should be filed with the Estate Administration and/or held in the settlement file.</w:t>
      </w:r>
    </w:p>
    <w:p w14:paraId="675AAB3A" w14:textId="77777777" w:rsidR="00F82DE9" w:rsidRPr="00F82DE9" w:rsidRDefault="00F82DE9" w:rsidP="00F82DE9">
      <w:pPr>
        <w:ind w:left="1080"/>
        <w:rPr>
          <w:rFonts w:ascii="Calibri" w:eastAsia="Calibri" w:hAnsi="Calibri" w:cs="Times New Roman"/>
          <w:sz w:val="22"/>
          <w:szCs w:val="22"/>
        </w:rPr>
      </w:pPr>
    </w:p>
    <w:p w14:paraId="1C67B41A" w14:textId="77777777" w:rsidR="00F82DE9" w:rsidRPr="00F82DE9" w:rsidRDefault="00F82DE9" w:rsidP="00F82DE9">
      <w:pPr>
        <w:numPr>
          <w:ilvl w:val="0"/>
          <w:numId w:val="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For deaths occurring </w:t>
      </w:r>
      <w:r w:rsidRPr="00F82DE9">
        <w:rPr>
          <w:rFonts w:ascii="Calibri" w:eastAsia="Calibri" w:hAnsi="Calibri" w:cs="Times New Roman"/>
          <w:b/>
          <w:sz w:val="22"/>
          <w:szCs w:val="22"/>
          <w:u w:val="single"/>
        </w:rPr>
        <w:t>before</w:t>
      </w:r>
      <w:r w:rsidRPr="00F82DE9">
        <w:rPr>
          <w:rFonts w:ascii="Calibri" w:eastAsia="Calibri" w:hAnsi="Calibri" w:cs="Times New Roman"/>
          <w:sz w:val="22"/>
          <w:szCs w:val="22"/>
          <w:u w:val="single"/>
        </w:rPr>
        <w:t xml:space="preserve"> January 1, 1970</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devisees</w:t>
      </w:r>
      <w:r w:rsidRPr="00F82DE9">
        <w:rPr>
          <w:rFonts w:ascii="Calibri" w:eastAsia="Calibri" w:hAnsi="Calibri" w:cs="Times New Roman"/>
          <w:sz w:val="22"/>
          <w:szCs w:val="22"/>
        </w:rPr>
        <w:t xml:space="preserve"> under a </w:t>
      </w:r>
      <w:r w:rsidRPr="00F82DE9">
        <w:rPr>
          <w:rFonts w:ascii="Calibri" w:eastAsia="Calibri" w:hAnsi="Calibri" w:cs="Times New Roman"/>
          <w:sz w:val="22"/>
          <w:szCs w:val="22"/>
          <w:u w:val="single"/>
        </w:rPr>
        <w:t>probated will</w:t>
      </w:r>
      <w:r w:rsidRPr="00F82DE9">
        <w:rPr>
          <w:rFonts w:ascii="Calibri" w:eastAsia="Calibri" w:hAnsi="Calibri" w:cs="Times New Roman"/>
          <w:sz w:val="22"/>
          <w:szCs w:val="22"/>
        </w:rPr>
        <w:t xml:space="preserve"> or </w:t>
      </w:r>
      <w:r w:rsidRPr="00F82DE9">
        <w:rPr>
          <w:rFonts w:ascii="Calibri" w:eastAsia="Calibri" w:hAnsi="Calibri" w:cs="Times New Roman"/>
          <w:sz w:val="22"/>
          <w:szCs w:val="22"/>
          <w:u w:val="single"/>
        </w:rPr>
        <w:t>heirs at law</w:t>
      </w:r>
      <w:r w:rsidRPr="00F82DE9">
        <w:rPr>
          <w:rFonts w:ascii="Calibri" w:eastAsia="Calibri" w:hAnsi="Calibri" w:cs="Times New Roman"/>
          <w:sz w:val="22"/>
          <w:szCs w:val="22"/>
        </w:rPr>
        <w:t xml:space="preserve"> (if no will), in whom title to the property is vested, have the authority and power to convey.</w:t>
      </w:r>
    </w:p>
    <w:p w14:paraId="51750FBA" w14:textId="77777777" w:rsidR="00F82DE9" w:rsidRPr="00F82DE9" w:rsidRDefault="00F82DE9" w:rsidP="00F82DE9">
      <w:pPr>
        <w:numPr>
          <w:ilvl w:val="0"/>
          <w:numId w:val="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Intestate (to die with no will)</w:t>
      </w:r>
    </w:p>
    <w:p w14:paraId="12E93AF3" w14:textId="77777777" w:rsidR="00F82DE9" w:rsidRPr="00F82DE9" w:rsidRDefault="00F82DE9" w:rsidP="00F82DE9">
      <w:pPr>
        <w:numPr>
          <w:ilvl w:val="0"/>
          <w:numId w:val="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Property passes </w:t>
      </w:r>
      <w:r w:rsidRPr="00F82DE9">
        <w:rPr>
          <w:rFonts w:ascii="Calibri" w:eastAsia="Calibri" w:hAnsi="Calibri" w:cs="Times New Roman"/>
          <w:sz w:val="22"/>
          <w:szCs w:val="22"/>
          <w:u w:val="single"/>
        </w:rPr>
        <w:t>directly</w:t>
      </w:r>
      <w:r w:rsidRPr="00F82DE9">
        <w:rPr>
          <w:rFonts w:ascii="Calibri" w:eastAsia="Calibri" w:hAnsi="Calibri" w:cs="Times New Roman"/>
          <w:sz w:val="22"/>
          <w:szCs w:val="22"/>
        </w:rPr>
        <w:t xml:space="preserve"> to the heirs.</w:t>
      </w:r>
    </w:p>
    <w:p w14:paraId="188730BB" w14:textId="77777777" w:rsidR="00F82DE9" w:rsidRPr="00F82DE9" w:rsidRDefault="00F82DE9" w:rsidP="00F82DE9">
      <w:pPr>
        <w:numPr>
          <w:ilvl w:val="0"/>
          <w:numId w:val="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Formal estate administration is not required to pass title to real property. Only an appraisal and inventory are needed for paying inheritance taxes and claims. However, to establish title in the heirs, a title insurer would require evidence of who the exact heirs of the decedent are (dis-interested party affidavits of heirship needed).</w:t>
      </w:r>
    </w:p>
    <w:p w14:paraId="15652F1B" w14:textId="77777777" w:rsidR="00F82DE9" w:rsidRPr="00F82DE9" w:rsidRDefault="00F82DE9" w:rsidP="00F82DE9">
      <w:pPr>
        <w:numPr>
          <w:ilvl w:val="0"/>
          <w:numId w:val="7"/>
        </w:numPr>
        <w:spacing w:after="160" w:line="259" w:lineRule="auto"/>
        <w:contextualSpacing/>
        <w:rPr>
          <w:rFonts w:ascii="Calibri" w:eastAsia="Calibri" w:hAnsi="Calibri" w:cs="Times New Roman"/>
          <w:sz w:val="22"/>
          <w:szCs w:val="22"/>
        </w:rPr>
      </w:pPr>
      <w:r w:rsidRPr="00F82DE9">
        <w:rPr>
          <w:rFonts w:ascii="Calibri" w:eastAsia="Calibri" w:hAnsi="Calibri" w:cs="Times New Roman"/>
          <w:b/>
          <w:sz w:val="22"/>
          <w:szCs w:val="22"/>
          <w:u w:val="single"/>
        </w:rPr>
        <w:t>Note:</w:t>
      </w:r>
      <w:r w:rsidRPr="00F82DE9">
        <w:rPr>
          <w:rFonts w:ascii="Calibri" w:eastAsia="Calibri" w:hAnsi="Calibri" w:cs="Times New Roman"/>
          <w:sz w:val="22"/>
          <w:szCs w:val="22"/>
        </w:rPr>
        <w:t xml:space="preserve"> If a leasehold property is involved and no will exists, formal administration is required. </w:t>
      </w:r>
      <w:r w:rsidRPr="00F82DE9">
        <w:rPr>
          <w:rFonts w:ascii="Calibri" w:eastAsia="Calibri" w:hAnsi="Calibri" w:cs="Times New Roman"/>
          <w:sz w:val="22"/>
          <w:szCs w:val="22"/>
          <w:u w:val="single"/>
        </w:rPr>
        <w:t>Md Code 1957 Article 93 Section 156</w:t>
      </w:r>
      <w:r w:rsidRPr="00F82DE9">
        <w:rPr>
          <w:rFonts w:ascii="Calibri" w:eastAsia="Calibri" w:hAnsi="Calibri" w:cs="Times New Roman"/>
          <w:sz w:val="22"/>
          <w:szCs w:val="22"/>
        </w:rPr>
        <w:t>.</w:t>
      </w:r>
    </w:p>
    <w:p w14:paraId="65CCE8FC" w14:textId="77777777" w:rsidR="00F82DE9" w:rsidRPr="00F82DE9" w:rsidRDefault="00F82DE9" w:rsidP="00F82DE9">
      <w:pPr>
        <w:numPr>
          <w:ilvl w:val="0"/>
          <w:numId w:val="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Testate (to die with a will)</w:t>
      </w:r>
    </w:p>
    <w:p w14:paraId="01130503" w14:textId="77777777" w:rsidR="00F82DE9" w:rsidRPr="00F82DE9" w:rsidRDefault="00F82DE9" w:rsidP="00F82DE9">
      <w:pPr>
        <w:numPr>
          <w:ilvl w:val="0"/>
          <w:numId w:val="8"/>
        </w:numPr>
        <w:spacing w:after="160" w:line="259" w:lineRule="auto"/>
        <w:ind w:left="2160"/>
        <w:contextualSpacing/>
        <w:rPr>
          <w:rFonts w:ascii="Calibri" w:eastAsia="Calibri" w:hAnsi="Calibri" w:cs="Times New Roman"/>
          <w:sz w:val="22"/>
          <w:szCs w:val="22"/>
        </w:rPr>
      </w:pPr>
      <w:r w:rsidRPr="00F82DE9">
        <w:rPr>
          <w:rFonts w:ascii="Calibri" w:eastAsia="Calibri" w:hAnsi="Calibri" w:cs="Times New Roman"/>
          <w:sz w:val="22"/>
          <w:szCs w:val="22"/>
        </w:rPr>
        <w:t xml:space="preserve">Where a probated will exists, the probating of the will is required to pass the title to both real and leasehold properties. </w:t>
      </w:r>
      <w:r w:rsidRPr="00F82DE9">
        <w:rPr>
          <w:rFonts w:ascii="Calibri" w:eastAsia="Calibri" w:hAnsi="Calibri" w:cs="Times New Roman"/>
          <w:sz w:val="22"/>
          <w:szCs w:val="22"/>
          <w:u w:val="single"/>
        </w:rPr>
        <w:t>Matthew v. Fuller</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209 Md</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42 (1956)</w:t>
      </w:r>
      <w:r w:rsidRPr="00F82DE9">
        <w:rPr>
          <w:rFonts w:ascii="Calibri" w:eastAsia="Calibri" w:hAnsi="Calibri" w:cs="Times New Roman"/>
          <w:sz w:val="22"/>
          <w:szCs w:val="22"/>
        </w:rPr>
        <w:t>.</w:t>
      </w:r>
    </w:p>
    <w:p w14:paraId="51B3E20F" w14:textId="77777777" w:rsidR="00F82DE9" w:rsidRPr="00F82DE9" w:rsidRDefault="00F82DE9" w:rsidP="00F82DE9">
      <w:pPr>
        <w:numPr>
          <w:ilvl w:val="0"/>
          <w:numId w:val="8"/>
        </w:numPr>
        <w:spacing w:after="160" w:line="259" w:lineRule="auto"/>
        <w:ind w:left="2160"/>
        <w:contextualSpacing/>
        <w:rPr>
          <w:rFonts w:ascii="Calibri" w:eastAsia="Calibri" w:hAnsi="Calibri" w:cs="Times New Roman"/>
          <w:sz w:val="22"/>
          <w:szCs w:val="22"/>
        </w:rPr>
      </w:pPr>
      <w:r w:rsidRPr="00F82DE9">
        <w:rPr>
          <w:rFonts w:ascii="Calibri" w:eastAsia="Calibri" w:hAnsi="Calibri" w:cs="Times New Roman"/>
          <w:sz w:val="22"/>
          <w:szCs w:val="22"/>
        </w:rPr>
        <w:t xml:space="preserve">A deed from Executor to specific devisees is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required. However, if a will calls for the property to be </w:t>
      </w:r>
      <w:r w:rsidRPr="00F82DE9">
        <w:rPr>
          <w:rFonts w:ascii="Calibri" w:eastAsia="Calibri" w:hAnsi="Calibri" w:cs="Times New Roman"/>
          <w:sz w:val="22"/>
          <w:szCs w:val="22"/>
          <w:u w:val="single"/>
        </w:rPr>
        <w:t>sold</w:t>
      </w:r>
      <w:r w:rsidRPr="00F82DE9">
        <w:rPr>
          <w:rFonts w:ascii="Calibri" w:eastAsia="Calibri" w:hAnsi="Calibri" w:cs="Times New Roman"/>
          <w:sz w:val="22"/>
          <w:szCs w:val="22"/>
        </w:rPr>
        <w:t>, a deed from the Executor is required.</w:t>
      </w:r>
    </w:p>
    <w:p w14:paraId="7CF44C76" w14:textId="0866208A" w:rsidR="00F82DE9" w:rsidRDefault="00F82DE9" w:rsidP="00F82DE9">
      <w:pPr>
        <w:numPr>
          <w:ilvl w:val="0"/>
          <w:numId w:val="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If no administration was opened and administration is required, estates must be opened and administered under applicable statutes/rules in place at the </w:t>
      </w:r>
      <w:r w:rsidRPr="00F82DE9">
        <w:rPr>
          <w:rFonts w:ascii="Calibri" w:eastAsia="Calibri" w:hAnsi="Calibri" w:cs="Times New Roman"/>
          <w:sz w:val="22"/>
          <w:szCs w:val="22"/>
          <w:u w:val="single"/>
        </w:rPr>
        <w:t>time of decedent’s death</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the applicable statutes/rules in place at the time the estate administration is opened.</w:t>
      </w:r>
    </w:p>
    <w:p w14:paraId="50FB086D" w14:textId="497F2393" w:rsidR="00D55906" w:rsidRDefault="00D55906" w:rsidP="00D55906">
      <w:pPr>
        <w:spacing w:after="160" w:line="259" w:lineRule="auto"/>
        <w:contextualSpacing/>
        <w:rPr>
          <w:rFonts w:ascii="Calibri" w:eastAsia="Calibri" w:hAnsi="Calibri" w:cs="Times New Roman"/>
          <w:sz w:val="22"/>
          <w:szCs w:val="22"/>
        </w:rPr>
      </w:pPr>
    </w:p>
    <w:tbl>
      <w:tblPr>
        <w:tblW w:w="5000" w:type="pct"/>
        <w:tblCellMar>
          <w:left w:w="0" w:type="dxa"/>
          <w:right w:w="0" w:type="dxa"/>
        </w:tblCellMar>
        <w:tblLook w:val="0420" w:firstRow="1" w:lastRow="0" w:firstColumn="0" w:lastColumn="0" w:noHBand="0" w:noVBand="1"/>
      </w:tblPr>
      <w:tblGrid>
        <w:gridCol w:w="3114"/>
        <w:gridCol w:w="3114"/>
        <w:gridCol w:w="3112"/>
      </w:tblGrid>
      <w:tr w:rsidR="00CF07E0" w:rsidRPr="00CF07E0" w14:paraId="7D0F16C9" w14:textId="77777777" w:rsidTr="00DB54AD">
        <w:trPr>
          <w:trHeight w:val="584"/>
        </w:trPr>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00C9C6E" w14:textId="77777777" w:rsidR="00CF07E0" w:rsidRPr="00CF07E0" w:rsidRDefault="00CF07E0" w:rsidP="00CF07E0">
            <w:pPr>
              <w:spacing w:after="160" w:line="259" w:lineRule="auto"/>
              <w:rPr>
                <w:rFonts w:ascii="Calibri" w:eastAsia="Calibri" w:hAnsi="Calibri" w:cs="Times New Roman"/>
                <w:color w:val="FFFFFF" w:themeColor="background1"/>
                <w:sz w:val="22"/>
                <w:szCs w:val="22"/>
              </w:rPr>
            </w:pPr>
            <w:r w:rsidRPr="00CF07E0">
              <w:rPr>
                <w:rFonts w:ascii="Calibri" w:eastAsia="Calibri" w:hAnsi="Calibri" w:cs="Times New Roman"/>
                <w:b/>
                <w:bCs/>
                <w:color w:val="FFFFFF" w:themeColor="background1"/>
                <w:sz w:val="22"/>
                <w:szCs w:val="22"/>
              </w:rPr>
              <w:t>Date of Death</w:t>
            </w:r>
          </w:p>
        </w:tc>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EDA095E" w14:textId="77777777" w:rsidR="00CF07E0" w:rsidRPr="00CF07E0" w:rsidRDefault="00CF07E0" w:rsidP="00CF07E0">
            <w:pPr>
              <w:spacing w:after="160" w:line="259" w:lineRule="auto"/>
              <w:rPr>
                <w:rFonts w:ascii="Calibri" w:eastAsia="Calibri" w:hAnsi="Calibri" w:cs="Times New Roman"/>
                <w:color w:val="FFFFFF" w:themeColor="background1"/>
                <w:sz w:val="22"/>
                <w:szCs w:val="22"/>
              </w:rPr>
            </w:pPr>
            <w:r w:rsidRPr="00CF07E0">
              <w:rPr>
                <w:rFonts w:ascii="Calibri" w:eastAsia="Calibri" w:hAnsi="Calibri" w:cs="Times New Roman"/>
                <w:b/>
                <w:bCs/>
                <w:color w:val="FFFFFF" w:themeColor="background1"/>
                <w:sz w:val="22"/>
                <w:szCs w:val="22"/>
              </w:rPr>
              <w:t>Testate – Die with a Will</w:t>
            </w:r>
          </w:p>
        </w:tc>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DA63A15" w14:textId="77777777" w:rsidR="00CF07E0" w:rsidRPr="00CF07E0" w:rsidRDefault="00CF07E0" w:rsidP="00CF07E0">
            <w:pPr>
              <w:spacing w:after="160" w:line="259" w:lineRule="auto"/>
              <w:rPr>
                <w:rFonts w:ascii="Calibri" w:eastAsia="Calibri" w:hAnsi="Calibri" w:cs="Times New Roman"/>
                <w:color w:val="FFFFFF" w:themeColor="background1"/>
                <w:sz w:val="22"/>
                <w:szCs w:val="22"/>
              </w:rPr>
            </w:pPr>
            <w:r w:rsidRPr="00CF07E0">
              <w:rPr>
                <w:rFonts w:ascii="Calibri" w:eastAsia="Calibri" w:hAnsi="Calibri" w:cs="Times New Roman"/>
                <w:b/>
                <w:bCs/>
                <w:color w:val="FFFFFF" w:themeColor="background1"/>
                <w:sz w:val="22"/>
                <w:szCs w:val="22"/>
              </w:rPr>
              <w:t>Intestate – Die without a Will</w:t>
            </w:r>
          </w:p>
        </w:tc>
      </w:tr>
      <w:tr w:rsidR="00CF07E0" w:rsidRPr="00CF07E0" w14:paraId="18FCEC0E" w14:textId="77777777" w:rsidTr="00DB54AD">
        <w:trPr>
          <w:trHeight w:val="584"/>
        </w:trPr>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EA1115" w14:textId="77777777" w:rsidR="00CF07E0" w:rsidRPr="00CF07E0" w:rsidRDefault="00CF07E0" w:rsidP="00CF07E0">
            <w:pPr>
              <w:rPr>
                <w:rFonts w:ascii="Calibri" w:eastAsia="Calibri" w:hAnsi="Calibri" w:cs="Times New Roman"/>
                <w:sz w:val="20"/>
                <w:szCs w:val="20"/>
              </w:rPr>
            </w:pPr>
            <w:r w:rsidRPr="00CF07E0">
              <w:rPr>
                <w:rFonts w:ascii="Calibri" w:eastAsia="Calibri" w:hAnsi="Calibri" w:cs="Times New Roman"/>
                <w:sz w:val="20"/>
                <w:szCs w:val="20"/>
              </w:rPr>
              <w:t>Prior to January 1, 1970</w:t>
            </w:r>
          </w:p>
        </w:tc>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9E3A68" w14:textId="77777777" w:rsidR="00CF07E0" w:rsidRPr="00CF07E0" w:rsidRDefault="00CF07E0" w:rsidP="00CF07E0">
            <w:pPr>
              <w:numPr>
                <w:ilvl w:val="0"/>
                <w:numId w:val="66"/>
              </w:numPr>
              <w:ind w:left="151" w:hanging="187"/>
              <w:rPr>
                <w:rFonts w:ascii="Calibri" w:eastAsia="Calibri" w:hAnsi="Calibri" w:cs="Times New Roman"/>
                <w:sz w:val="20"/>
                <w:szCs w:val="20"/>
              </w:rPr>
            </w:pPr>
            <w:r w:rsidRPr="00CF07E0">
              <w:rPr>
                <w:rFonts w:ascii="Calibri" w:eastAsia="Calibri" w:hAnsi="Calibri" w:cs="Times New Roman"/>
                <w:sz w:val="20"/>
                <w:szCs w:val="20"/>
              </w:rPr>
              <w:t xml:space="preserve">Title passes to </w:t>
            </w:r>
            <w:proofErr w:type="spellStart"/>
            <w:r w:rsidRPr="00CF07E0">
              <w:rPr>
                <w:rFonts w:ascii="Calibri" w:eastAsia="Calibri" w:hAnsi="Calibri" w:cs="Times New Roman"/>
                <w:sz w:val="20"/>
                <w:szCs w:val="20"/>
              </w:rPr>
              <w:t>devisee</w:t>
            </w:r>
            <w:proofErr w:type="spellEnd"/>
            <w:r w:rsidRPr="00CF07E0">
              <w:rPr>
                <w:rFonts w:ascii="Calibri" w:eastAsia="Calibri" w:hAnsi="Calibri" w:cs="Times New Roman"/>
                <w:sz w:val="20"/>
                <w:szCs w:val="20"/>
              </w:rPr>
              <w:t>(s) under the probated will</w:t>
            </w:r>
          </w:p>
          <w:p w14:paraId="7D337135" w14:textId="77777777" w:rsidR="00CF07E0" w:rsidRPr="00CF07E0" w:rsidRDefault="00CF07E0" w:rsidP="00CF07E0">
            <w:pPr>
              <w:numPr>
                <w:ilvl w:val="0"/>
                <w:numId w:val="66"/>
              </w:numPr>
              <w:ind w:left="151" w:hanging="187"/>
              <w:rPr>
                <w:rFonts w:ascii="Calibri" w:eastAsia="Calibri" w:hAnsi="Calibri" w:cs="Times New Roman"/>
                <w:sz w:val="20"/>
                <w:szCs w:val="20"/>
              </w:rPr>
            </w:pPr>
            <w:r w:rsidRPr="00CF07E0">
              <w:rPr>
                <w:rFonts w:ascii="Calibri" w:eastAsia="Calibri" w:hAnsi="Calibri" w:cs="Times New Roman"/>
                <w:sz w:val="20"/>
                <w:szCs w:val="20"/>
              </w:rPr>
              <w:t>Probated will required</w:t>
            </w:r>
          </w:p>
          <w:p w14:paraId="398AFEC2" w14:textId="77777777" w:rsidR="00CF07E0" w:rsidRPr="00CF07E0" w:rsidRDefault="00CF07E0" w:rsidP="00CF07E0">
            <w:pPr>
              <w:numPr>
                <w:ilvl w:val="0"/>
                <w:numId w:val="66"/>
              </w:numPr>
              <w:ind w:left="151" w:hanging="187"/>
              <w:rPr>
                <w:rFonts w:ascii="Calibri" w:eastAsia="Calibri" w:hAnsi="Calibri" w:cs="Times New Roman"/>
                <w:sz w:val="20"/>
                <w:szCs w:val="20"/>
              </w:rPr>
            </w:pPr>
            <w:r w:rsidRPr="00CF07E0">
              <w:rPr>
                <w:rFonts w:ascii="Calibri" w:eastAsia="Calibri" w:hAnsi="Calibri" w:cs="Times New Roman"/>
                <w:sz w:val="20"/>
                <w:szCs w:val="20"/>
              </w:rPr>
              <w:t>P.R./Executor has no title to property unless expressly stated in the will</w:t>
            </w:r>
          </w:p>
          <w:p w14:paraId="245C1FBC" w14:textId="77777777" w:rsidR="00CF07E0" w:rsidRPr="00CF07E0" w:rsidRDefault="00CF07E0" w:rsidP="00CF07E0">
            <w:pPr>
              <w:numPr>
                <w:ilvl w:val="0"/>
                <w:numId w:val="66"/>
              </w:numPr>
              <w:ind w:left="151" w:hanging="187"/>
              <w:rPr>
                <w:rFonts w:ascii="Calibri" w:eastAsia="Calibri" w:hAnsi="Calibri" w:cs="Times New Roman"/>
                <w:sz w:val="20"/>
                <w:szCs w:val="20"/>
              </w:rPr>
            </w:pPr>
            <w:r w:rsidRPr="00CF07E0">
              <w:rPr>
                <w:rFonts w:ascii="Calibri" w:eastAsia="Calibri" w:hAnsi="Calibri" w:cs="Times New Roman"/>
                <w:sz w:val="20"/>
                <w:szCs w:val="20"/>
              </w:rPr>
              <w:t xml:space="preserve">If will calls for the property to be sold – a deed from the Executor to </w:t>
            </w:r>
            <w:proofErr w:type="spellStart"/>
            <w:r w:rsidRPr="00CF07E0">
              <w:rPr>
                <w:rFonts w:ascii="Calibri" w:eastAsia="Calibri" w:hAnsi="Calibri" w:cs="Times New Roman"/>
                <w:sz w:val="20"/>
                <w:szCs w:val="20"/>
              </w:rPr>
              <w:t>devisee</w:t>
            </w:r>
            <w:proofErr w:type="spellEnd"/>
            <w:r w:rsidRPr="00CF07E0">
              <w:rPr>
                <w:rFonts w:ascii="Calibri" w:eastAsia="Calibri" w:hAnsi="Calibri" w:cs="Times New Roman"/>
                <w:sz w:val="20"/>
                <w:szCs w:val="20"/>
              </w:rPr>
              <w:t>(s) is required</w:t>
            </w:r>
          </w:p>
          <w:p w14:paraId="7D3A3F2B" w14:textId="77777777" w:rsidR="00CF07E0" w:rsidRPr="00CF07E0" w:rsidRDefault="00CF07E0" w:rsidP="00CF07E0">
            <w:pPr>
              <w:numPr>
                <w:ilvl w:val="0"/>
                <w:numId w:val="66"/>
              </w:numPr>
              <w:ind w:left="151" w:hanging="187"/>
              <w:rPr>
                <w:rFonts w:ascii="Calibri" w:eastAsia="Calibri" w:hAnsi="Calibri" w:cs="Times New Roman"/>
                <w:sz w:val="20"/>
                <w:szCs w:val="20"/>
              </w:rPr>
            </w:pPr>
            <w:r w:rsidRPr="00CF07E0">
              <w:rPr>
                <w:rFonts w:ascii="Calibri" w:eastAsia="Calibri" w:hAnsi="Calibri" w:cs="Times New Roman"/>
                <w:sz w:val="20"/>
                <w:szCs w:val="20"/>
              </w:rPr>
              <w:t>If no administration opened and is required – estate must be opened and administered</w:t>
            </w:r>
          </w:p>
        </w:tc>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964696" w14:textId="77777777" w:rsidR="00CF07E0" w:rsidRPr="00CF07E0" w:rsidRDefault="00CF07E0" w:rsidP="00827528">
            <w:pPr>
              <w:numPr>
                <w:ilvl w:val="0"/>
                <w:numId w:val="66"/>
              </w:numPr>
              <w:ind w:left="201" w:hanging="187"/>
              <w:rPr>
                <w:rFonts w:ascii="Calibri" w:eastAsia="Calibri" w:hAnsi="Calibri" w:cs="Times New Roman"/>
                <w:sz w:val="20"/>
                <w:szCs w:val="20"/>
              </w:rPr>
            </w:pPr>
            <w:r w:rsidRPr="00CF07E0">
              <w:rPr>
                <w:rFonts w:ascii="Calibri" w:eastAsia="Calibri" w:hAnsi="Calibri" w:cs="Times New Roman"/>
                <w:sz w:val="20"/>
                <w:szCs w:val="20"/>
              </w:rPr>
              <w:t xml:space="preserve">Title passes directly to </w:t>
            </w:r>
            <w:proofErr w:type="spellStart"/>
            <w:r w:rsidRPr="00CF07E0">
              <w:rPr>
                <w:rFonts w:ascii="Calibri" w:eastAsia="Calibri" w:hAnsi="Calibri" w:cs="Times New Roman"/>
                <w:sz w:val="20"/>
                <w:szCs w:val="20"/>
              </w:rPr>
              <w:t>heir</w:t>
            </w:r>
            <w:proofErr w:type="spellEnd"/>
            <w:r w:rsidRPr="00CF07E0">
              <w:rPr>
                <w:rFonts w:ascii="Calibri" w:eastAsia="Calibri" w:hAnsi="Calibri" w:cs="Times New Roman"/>
                <w:sz w:val="20"/>
                <w:szCs w:val="20"/>
              </w:rPr>
              <w:t>(s)</w:t>
            </w:r>
          </w:p>
          <w:p w14:paraId="261ECCF9" w14:textId="77777777" w:rsidR="00CF07E0" w:rsidRPr="00CF07E0" w:rsidRDefault="00CF07E0" w:rsidP="00827528">
            <w:pPr>
              <w:numPr>
                <w:ilvl w:val="0"/>
                <w:numId w:val="66"/>
              </w:numPr>
              <w:ind w:left="201" w:hanging="187"/>
              <w:rPr>
                <w:rFonts w:ascii="Calibri" w:eastAsia="Calibri" w:hAnsi="Calibri" w:cs="Times New Roman"/>
                <w:sz w:val="20"/>
                <w:szCs w:val="20"/>
              </w:rPr>
            </w:pPr>
            <w:r w:rsidRPr="00CF07E0">
              <w:rPr>
                <w:rFonts w:ascii="Calibri" w:eastAsia="Calibri" w:hAnsi="Calibri" w:cs="Times New Roman"/>
                <w:sz w:val="20"/>
                <w:szCs w:val="20"/>
              </w:rPr>
              <w:t>Estate administration is not required to pass title</w:t>
            </w:r>
          </w:p>
          <w:p w14:paraId="06AA3631" w14:textId="77777777" w:rsidR="00CF07E0" w:rsidRPr="00CF07E0" w:rsidRDefault="00CF07E0" w:rsidP="00827528">
            <w:pPr>
              <w:numPr>
                <w:ilvl w:val="0"/>
                <w:numId w:val="66"/>
              </w:numPr>
              <w:ind w:left="201" w:hanging="187"/>
              <w:rPr>
                <w:rFonts w:ascii="Calibri" w:eastAsia="Calibri" w:hAnsi="Calibri" w:cs="Times New Roman"/>
                <w:sz w:val="20"/>
                <w:szCs w:val="20"/>
              </w:rPr>
            </w:pPr>
            <w:r w:rsidRPr="00CF07E0">
              <w:rPr>
                <w:rFonts w:ascii="Calibri" w:eastAsia="Calibri" w:hAnsi="Calibri" w:cs="Times New Roman"/>
                <w:sz w:val="20"/>
                <w:szCs w:val="20"/>
              </w:rPr>
              <w:t>Appraisal and inventory needed</w:t>
            </w:r>
          </w:p>
          <w:p w14:paraId="4AED9F16" w14:textId="77777777" w:rsidR="00CF07E0" w:rsidRPr="00CF07E0" w:rsidRDefault="00CF07E0" w:rsidP="00827528">
            <w:pPr>
              <w:numPr>
                <w:ilvl w:val="0"/>
                <w:numId w:val="66"/>
              </w:numPr>
              <w:ind w:left="201" w:hanging="187"/>
              <w:rPr>
                <w:rFonts w:ascii="Calibri" w:eastAsia="Calibri" w:hAnsi="Calibri" w:cs="Times New Roman"/>
                <w:sz w:val="20"/>
                <w:szCs w:val="20"/>
              </w:rPr>
            </w:pPr>
            <w:r w:rsidRPr="00CF07E0">
              <w:rPr>
                <w:rFonts w:ascii="Calibri" w:eastAsia="Calibri" w:hAnsi="Calibri" w:cs="Times New Roman"/>
                <w:sz w:val="20"/>
                <w:szCs w:val="20"/>
              </w:rPr>
              <w:t>Evidence of heirs needed (affidavits of heirship)</w:t>
            </w:r>
          </w:p>
        </w:tc>
      </w:tr>
      <w:tr w:rsidR="00CF07E0" w:rsidRPr="00CF07E0" w14:paraId="32BF565B" w14:textId="77777777" w:rsidTr="00DB54AD">
        <w:trPr>
          <w:trHeight w:val="584"/>
        </w:trPr>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F89F7E" w14:textId="77777777" w:rsidR="00CF07E0" w:rsidRPr="00CF07E0" w:rsidRDefault="00CF07E0" w:rsidP="00CF07E0">
            <w:pPr>
              <w:rPr>
                <w:rFonts w:ascii="Calibri" w:eastAsia="Calibri" w:hAnsi="Calibri" w:cs="Times New Roman"/>
                <w:sz w:val="20"/>
                <w:szCs w:val="20"/>
              </w:rPr>
            </w:pPr>
            <w:r w:rsidRPr="00CF07E0">
              <w:rPr>
                <w:rFonts w:ascii="Calibri" w:eastAsia="Calibri" w:hAnsi="Calibri" w:cs="Times New Roman"/>
                <w:sz w:val="20"/>
                <w:szCs w:val="20"/>
              </w:rPr>
              <w:t>On or after January 1, 1970</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0B666A" w14:textId="77777777" w:rsidR="00CF07E0" w:rsidRPr="00CF07E0" w:rsidRDefault="00CF07E0" w:rsidP="00CF07E0">
            <w:pPr>
              <w:numPr>
                <w:ilvl w:val="0"/>
                <w:numId w:val="67"/>
              </w:numPr>
              <w:ind w:left="151" w:hanging="187"/>
              <w:rPr>
                <w:rFonts w:ascii="Calibri" w:eastAsia="Calibri" w:hAnsi="Calibri" w:cs="Times New Roman"/>
                <w:sz w:val="20"/>
                <w:szCs w:val="20"/>
              </w:rPr>
            </w:pPr>
            <w:r w:rsidRPr="00CF07E0">
              <w:rPr>
                <w:rFonts w:ascii="Calibri" w:eastAsia="Calibri" w:hAnsi="Calibri" w:cs="Times New Roman"/>
                <w:sz w:val="20"/>
                <w:szCs w:val="20"/>
              </w:rPr>
              <w:t>Title passes to Personal Representative</w:t>
            </w:r>
          </w:p>
          <w:p w14:paraId="5A64A87A" w14:textId="77777777" w:rsidR="00CF07E0" w:rsidRPr="00CF07E0" w:rsidRDefault="00CF07E0" w:rsidP="00CF07E0">
            <w:pPr>
              <w:numPr>
                <w:ilvl w:val="0"/>
                <w:numId w:val="67"/>
              </w:numPr>
              <w:ind w:left="151" w:hanging="187"/>
              <w:rPr>
                <w:rFonts w:ascii="Calibri" w:eastAsia="Calibri" w:hAnsi="Calibri" w:cs="Times New Roman"/>
                <w:sz w:val="20"/>
                <w:szCs w:val="20"/>
              </w:rPr>
            </w:pPr>
            <w:r w:rsidRPr="00CF07E0">
              <w:rPr>
                <w:rFonts w:ascii="Calibri" w:eastAsia="Calibri" w:hAnsi="Calibri" w:cs="Times New Roman"/>
                <w:sz w:val="20"/>
                <w:szCs w:val="20"/>
              </w:rPr>
              <w:t>Power of P.R. comes from E&amp;T Article 7-401(n)</w:t>
            </w:r>
          </w:p>
          <w:p w14:paraId="62A04475" w14:textId="77777777" w:rsidR="00CF07E0" w:rsidRPr="00CF07E0" w:rsidRDefault="00CF07E0" w:rsidP="00CF07E0">
            <w:pPr>
              <w:numPr>
                <w:ilvl w:val="0"/>
                <w:numId w:val="67"/>
              </w:numPr>
              <w:ind w:left="151" w:hanging="187"/>
              <w:rPr>
                <w:rFonts w:ascii="Calibri" w:eastAsia="Calibri" w:hAnsi="Calibri" w:cs="Times New Roman"/>
                <w:sz w:val="20"/>
                <w:szCs w:val="20"/>
              </w:rPr>
            </w:pPr>
            <w:r w:rsidRPr="00CF07E0">
              <w:rPr>
                <w:rFonts w:ascii="Calibri" w:eastAsia="Calibri" w:hAnsi="Calibri" w:cs="Times New Roman"/>
                <w:sz w:val="20"/>
                <w:szCs w:val="20"/>
              </w:rPr>
              <w:t>Power to convey comes from the will</w:t>
            </w:r>
          </w:p>
          <w:p w14:paraId="396F2B2C" w14:textId="77777777" w:rsidR="00CF07E0" w:rsidRPr="00CF07E0" w:rsidRDefault="00CF07E0" w:rsidP="00CF07E0">
            <w:pPr>
              <w:numPr>
                <w:ilvl w:val="0"/>
                <w:numId w:val="67"/>
              </w:numPr>
              <w:ind w:left="151" w:hanging="187"/>
              <w:rPr>
                <w:rFonts w:ascii="Calibri" w:eastAsia="Calibri" w:hAnsi="Calibri" w:cs="Times New Roman"/>
                <w:sz w:val="20"/>
                <w:szCs w:val="20"/>
              </w:rPr>
            </w:pPr>
            <w:r w:rsidRPr="00CF07E0">
              <w:rPr>
                <w:rFonts w:ascii="Calibri" w:eastAsia="Calibri" w:hAnsi="Calibri" w:cs="Times New Roman"/>
                <w:sz w:val="20"/>
                <w:szCs w:val="20"/>
              </w:rPr>
              <w:t>Deed from P.R. is required</w:t>
            </w:r>
          </w:p>
          <w:p w14:paraId="78D81BAF" w14:textId="77777777" w:rsidR="00CF07E0" w:rsidRPr="00CF07E0" w:rsidRDefault="00CF07E0" w:rsidP="00CF07E0">
            <w:pPr>
              <w:numPr>
                <w:ilvl w:val="0"/>
                <w:numId w:val="67"/>
              </w:numPr>
              <w:ind w:left="151" w:hanging="187"/>
              <w:rPr>
                <w:rFonts w:ascii="Calibri" w:eastAsia="Calibri" w:hAnsi="Calibri" w:cs="Times New Roman"/>
                <w:sz w:val="20"/>
                <w:szCs w:val="20"/>
              </w:rPr>
            </w:pPr>
            <w:r w:rsidRPr="00CF07E0">
              <w:rPr>
                <w:rFonts w:ascii="Calibri" w:eastAsia="Calibri" w:hAnsi="Calibri" w:cs="Times New Roman"/>
                <w:sz w:val="20"/>
                <w:szCs w:val="20"/>
              </w:rPr>
              <w:t>If will devises to specific individual, that individual must sign the deed</w:t>
            </w:r>
          </w:p>
          <w:p w14:paraId="15AB0D93" w14:textId="66808BD9" w:rsidR="00CF07E0" w:rsidRPr="00CF07E0" w:rsidRDefault="00CF07E0" w:rsidP="00CF07E0">
            <w:pPr>
              <w:numPr>
                <w:ilvl w:val="0"/>
                <w:numId w:val="67"/>
              </w:numPr>
              <w:ind w:left="151" w:hanging="187"/>
              <w:rPr>
                <w:rFonts w:ascii="Calibri" w:eastAsia="Calibri" w:hAnsi="Calibri" w:cs="Times New Roman"/>
                <w:sz w:val="20"/>
                <w:szCs w:val="20"/>
              </w:rPr>
            </w:pPr>
            <w:r w:rsidRPr="00CF07E0">
              <w:rPr>
                <w:rFonts w:ascii="Calibri" w:eastAsia="Calibri" w:hAnsi="Calibri" w:cs="Times New Roman"/>
                <w:sz w:val="20"/>
                <w:szCs w:val="20"/>
              </w:rPr>
              <w:t>In lieu of signing deed – sign an affidavit consenting to transfer</w:t>
            </w:r>
            <w:r w:rsidR="00F93622">
              <w:rPr>
                <w:rFonts w:ascii="Calibri" w:eastAsia="Calibri" w:hAnsi="Calibri" w:cs="Times New Roman"/>
                <w:sz w:val="20"/>
                <w:szCs w:val="20"/>
              </w:rPr>
              <w:t xml:space="preserve"> to be filed in the Estate proceedings</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3483C3" w14:textId="38AB7147" w:rsidR="00CF07E0" w:rsidRPr="00CF07E0" w:rsidRDefault="00CF07E0" w:rsidP="00827528">
            <w:pPr>
              <w:numPr>
                <w:ilvl w:val="0"/>
                <w:numId w:val="67"/>
              </w:numPr>
              <w:ind w:left="201" w:hanging="187"/>
              <w:rPr>
                <w:rFonts w:ascii="Calibri" w:eastAsia="Calibri" w:hAnsi="Calibri" w:cs="Times New Roman"/>
                <w:sz w:val="20"/>
                <w:szCs w:val="20"/>
              </w:rPr>
            </w:pPr>
            <w:r w:rsidRPr="00CF07E0">
              <w:rPr>
                <w:rFonts w:ascii="Calibri" w:eastAsia="Calibri" w:hAnsi="Calibri" w:cs="Times New Roman"/>
                <w:sz w:val="20"/>
                <w:szCs w:val="20"/>
              </w:rPr>
              <w:t xml:space="preserve">Title passes </w:t>
            </w:r>
            <w:r w:rsidR="00827528">
              <w:rPr>
                <w:rFonts w:ascii="Calibri" w:eastAsia="Calibri" w:hAnsi="Calibri" w:cs="Times New Roman"/>
                <w:sz w:val="20"/>
                <w:szCs w:val="20"/>
              </w:rPr>
              <w:t>to Personal Representative</w:t>
            </w:r>
          </w:p>
          <w:p w14:paraId="1FAFB4FF" w14:textId="77777777" w:rsidR="00CF07E0" w:rsidRPr="00CF07E0" w:rsidRDefault="00CF07E0" w:rsidP="00827528">
            <w:pPr>
              <w:numPr>
                <w:ilvl w:val="0"/>
                <w:numId w:val="67"/>
              </w:numPr>
              <w:ind w:left="201" w:hanging="187"/>
              <w:rPr>
                <w:rFonts w:ascii="Calibri" w:eastAsia="Calibri" w:hAnsi="Calibri" w:cs="Times New Roman"/>
                <w:sz w:val="20"/>
                <w:szCs w:val="20"/>
              </w:rPr>
            </w:pPr>
            <w:r w:rsidRPr="00CF07E0">
              <w:rPr>
                <w:rFonts w:ascii="Calibri" w:eastAsia="Calibri" w:hAnsi="Calibri" w:cs="Times New Roman"/>
                <w:sz w:val="20"/>
                <w:szCs w:val="20"/>
              </w:rPr>
              <w:t>Deed from P.R. is required</w:t>
            </w:r>
          </w:p>
        </w:tc>
      </w:tr>
    </w:tbl>
    <w:p w14:paraId="7160B1FA" w14:textId="77777777" w:rsidR="00CF07E0" w:rsidRPr="00CF07E0" w:rsidRDefault="00CF07E0" w:rsidP="00CF07E0">
      <w:pPr>
        <w:spacing w:after="160" w:line="259" w:lineRule="auto"/>
        <w:rPr>
          <w:rFonts w:ascii="Calibri" w:eastAsia="Calibri" w:hAnsi="Calibri" w:cs="Times New Roman"/>
          <w:sz w:val="22"/>
          <w:szCs w:val="22"/>
        </w:rPr>
      </w:pPr>
    </w:p>
    <w:p w14:paraId="2D84A069" w14:textId="77777777" w:rsidR="00D55906" w:rsidRPr="00F82DE9" w:rsidRDefault="00D55906" w:rsidP="00D55906">
      <w:pPr>
        <w:spacing w:after="160" w:line="259" w:lineRule="auto"/>
        <w:contextualSpacing/>
        <w:rPr>
          <w:rFonts w:ascii="Calibri" w:eastAsia="Calibri" w:hAnsi="Calibri" w:cs="Times New Roman"/>
          <w:sz w:val="22"/>
          <w:szCs w:val="22"/>
        </w:rPr>
      </w:pPr>
    </w:p>
    <w:p w14:paraId="43264F91" w14:textId="77777777" w:rsidR="00F82DE9" w:rsidRPr="00F82DE9" w:rsidRDefault="00F82DE9" w:rsidP="00F82DE9">
      <w:pPr>
        <w:ind w:left="1080"/>
        <w:rPr>
          <w:rFonts w:ascii="Calibri" w:eastAsia="Calibri" w:hAnsi="Calibri" w:cs="Times New Roman"/>
          <w:sz w:val="22"/>
          <w:szCs w:val="22"/>
        </w:rPr>
      </w:pPr>
    </w:p>
    <w:p w14:paraId="2FC73B87"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Schedule B-1 Commitment Requirements/Estate Documentation</w:t>
      </w:r>
    </w:p>
    <w:p w14:paraId="09437952" w14:textId="77777777" w:rsidR="00F82DE9" w:rsidRPr="00F82DE9" w:rsidRDefault="00F82DE9" w:rsidP="00F82DE9">
      <w:pPr>
        <w:ind w:left="360"/>
        <w:rPr>
          <w:rFonts w:ascii="Calibri" w:eastAsia="Calibri" w:hAnsi="Calibri" w:cs="Times New Roman"/>
          <w:sz w:val="22"/>
          <w:szCs w:val="22"/>
        </w:rPr>
      </w:pPr>
    </w:p>
    <w:p w14:paraId="7C91F901" w14:textId="77777777" w:rsidR="00F82DE9" w:rsidRPr="00F82DE9" w:rsidRDefault="00F82DE9" w:rsidP="00F82DE9">
      <w:pPr>
        <w:ind w:left="1080"/>
        <w:rPr>
          <w:rFonts w:ascii="Calibri" w:eastAsia="Calibri" w:hAnsi="Calibri" w:cs="Times New Roman"/>
          <w:sz w:val="22"/>
          <w:szCs w:val="22"/>
        </w:rPr>
      </w:pPr>
      <w:r w:rsidRPr="00F82DE9">
        <w:rPr>
          <w:rFonts w:ascii="Calibri" w:eastAsia="Calibri" w:hAnsi="Calibri" w:cs="Times New Roman"/>
          <w:sz w:val="22"/>
          <w:szCs w:val="22"/>
        </w:rPr>
        <w:t>The following documentation must be received and reviewed prior to settlement and recited as Schedule B-I commitment requirements where an estate is mortgaging or selling real property:</w:t>
      </w:r>
    </w:p>
    <w:p w14:paraId="070AA0BD" w14:textId="77777777" w:rsidR="00F82DE9" w:rsidRPr="00F82DE9" w:rsidRDefault="00F82DE9" w:rsidP="00F82DE9">
      <w:pPr>
        <w:numPr>
          <w:ilvl w:val="0"/>
          <w:numId w:val="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Required Estate Documentation</w:t>
      </w:r>
    </w:p>
    <w:p w14:paraId="3DC5326D"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Raised seal original death certificate or a copy of a death certificate; and</w:t>
      </w:r>
    </w:p>
    <w:p w14:paraId="512C492D"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Authenticated copy of the will, if applicable; and</w:t>
      </w:r>
    </w:p>
    <w:p w14:paraId="2B002B6D"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Copy of the Letters of Administration appointing the personal representative. (Sections 6-103, 6-104 and 6-105 of the Estates and Trusts Article); and</w:t>
      </w:r>
    </w:p>
    <w:p w14:paraId="408EB38A"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Proof that will (if applicable) has been admitted to probate. Pursuant to Section 5-101 and 5-102 of the Estates and Trusts Article, unless a will is admitted to probate, it is ineffective to transfer property or to nominate a personal representative; and</w:t>
      </w:r>
    </w:p>
    <w:p w14:paraId="3D8A7ECA" w14:textId="04C6AA95"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Copy of court filed Inventory of all estate property/assets (Section 7-201 of the Estates and Trusts Article)</w:t>
      </w:r>
      <w:r w:rsidR="00281780">
        <w:rPr>
          <w:rFonts w:ascii="Calibri" w:eastAsia="Calibri" w:hAnsi="Calibri" w:cs="Times New Roman"/>
          <w:sz w:val="22"/>
          <w:szCs w:val="22"/>
        </w:rPr>
        <w:t xml:space="preserve"> although not always required</w:t>
      </w:r>
      <w:r w:rsidRPr="00F82DE9">
        <w:rPr>
          <w:rFonts w:ascii="Calibri" w:eastAsia="Calibri" w:hAnsi="Calibri" w:cs="Times New Roman"/>
          <w:sz w:val="22"/>
          <w:szCs w:val="22"/>
        </w:rPr>
        <w:t>; and</w:t>
      </w:r>
    </w:p>
    <w:p w14:paraId="052ED411"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Proof that the Notice of Appointment of Personal Representative to Interested Persons and Creditors was sent/published. (Section 7-103 and 7-103.1 of the Estates and Trusts Article); and</w:t>
      </w:r>
    </w:p>
    <w:p w14:paraId="708A4AFE"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Claims filed within the estate administration (</w:t>
      </w:r>
      <w:r w:rsidRPr="00281780">
        <w:rPr>
          <w:rFonts w:ascii="Calibri" w:eastAsia="Calibri" w:hAnsi="Calibri" w:cs="Times New Roman"/>
          <w:sz w:val="22"/>
          <w:szCs w:val="22"/>
          <w:u w:val="single"/>
        </w:rPr>
        <w:t>Note</w:t>
      </w:r>
      <w:r w:rsidRPr="00F82DE9">
        <w:rPr>
          <w:rFonts w:ascii="Calibri" w:eastAsia="Calibri" w:hAnsi="Calibri" w:cs="Times New Roman"/>
          <w:sz w:val="22"/>
          <w:szCs w:val="22"/>
        </w:rPr>
        <w:t xml:space="preserve">: do not have to be paid off and released at settlement </w:t>
      </w:r>
      <w:proofErr w:type="gramStart"/>
      <w:r w:rsidRPr="00F82DE9">
        <w:rPr>
          <w:rFonts w:ascii="Calibri" w:eastAsia="Calibri" w:hAnsi="Calibri" w:cs="Times New Roman"/>
          <w:sz w:val="22"/>
          <w:szCs w:val="22"/>
        </w:rPr>
        <w:t>as long as</w:t>
      </w:r>
      <w:proofErr w:type="gramEnd"/>
      <w:r w:rsidRPr="00F82DE9">
        <w:rPr>
          <w:rFonts w:ascii="Calibri" w:eastAsia="Calibri" w:hAnsi="Calibri" w:cs="Times New Roman"/>
          <w:sz w:val="22"/>
          <w:szCs w:val="22"/>
        </w:rPr>
        <w:t xml:space="preserve"> we have a conveyance to a bfp.) (Section 8-101, et seq. of the Estates and Trusts Article); and</w:t>
      </w:r>
    </w:p>
    <w:p w14:paraId="046BE2AB"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Maryland Inheritance tax (</w:t>
      </w:r>
      <w:r w:rsidRPr="00281780">
        <w:rPr>
          <w:rFonts w:ascii="Calibri" w:eastAsia="Calibri" w:hAnsi="Calibri" w:cs="Times New Roman"/>
          <w:sz w:val="22"/>
          <w:szCs w:val="22"/>
          <w:u w:val="single"/>
        </w:rPr>
        <w:t>Note</w:t>
      </w:r>
      <w:r w:rsidRPr="00F82DE9">
        <w:rPr>
          <w:rFonts w:ascii="Calibri" w:eastAsia="Calibri" w:hAnsi="Calibri" w:cs="Times New Roman"/>
          <w:sz w:val="22"/>
          <w:szCs w:val="22"/>
        </w:rPr>
        <w:t xml:space="preserve">: does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have to be paid at settlement </w:t>
      </w:r>
      <w:proofErr w:type="gramStart"/>
      <w:r w:rsidRPr="00F82DE9">
        <w:rPr>
          <w:rFonts w:ascii="Calibri" w:eastAsia="Calibri" w:hAnsi="Calibri" w:cs="Times New Roman"/>
          <w:sz w:val="22"/>
          <w:szCs w:val="22"/>
        </w:rPr>
        <w:t>as long as</w:t>
      </w:r>
      <w:proofErr w:type="gramEnd"/>
      <w:r w:rsidRPr="00F82DE9">
        <w:rPr>
          <w:rFonts w:ascii="Calibri" w:eastAsia="Calibri" w:hAnsi="Calibri" w:cs="Times New Roman"/>
          <w:sz w:val="22"/>
          <w:szCs w:val="22"/>
        </w:rPr>
        <w:t xml:space="preserve"> we have a bona fide purchaser, the estate is not a foreign estate and no Notice of Lien is filed/recorded.) (Sections 7-101, et seq. of the Estates and Trusts Article).; and</w:t>
      </w:r>
    </w:p>
    <w:p w14:paraId="39E37F48"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Verification of payment or payment (and release) of Maryland Estate tax, if a Notice of Lien for Maryland Estate tax has been filed/recorded or we do not have a bona fide purchaser; and</w:t>
      </w:r>
    </w:p>
    <w:p w14:paraId="6796B9BB" w14:textId="5978D84B"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Verification of payment or payment of Federal Estate tax if </w:t>
      </w:r>
      <w:r w:rsidR="00281780">
        <w:rPr>
          <w:rFonts w:ascii="Calibri" w:eastAsia="Calibri" w:hAnsi="Calibri" w:cs="Times New Roman"/>
          <w:sz w:val="22"/>
          <w:szCs w:val="22"/>
        </w:rPr>
        <w:t>total value</w:t>
      </w:r>
      <w:r w:rsidRPr="00F82DE9">
        <w:rPr>
          <w:rFonts w:ascii="Calibri" w:eastAsia="Calibri" w:hAnsi="Calibri" w:cs="Times New Roman"/>
          <w:sz w:val="22"/>
          <w:szCs w:val="22"/>
        </w:rPr>
        <w:t xml:space="preserve"> of </w:t>
      </w:r>
      <w:proofErr w:type="gramStart"/>
      <w:r w:rsidRPr="00F82DE9">
        <w:rPr>
          <w:rFonts w:ascii="Calibri" w:eastAsia="Calibri" w:hAnsi="Calibri" w:cs="Times New Roman"/>
          <w:sz w:val="22"/>
          <w:szCs w:val="22"/>
        </w:rPr>
        <w:t>all of</w:t>
      </w:r>
      <w:proofErr w:type="gramEnd"/>
      <w:r w:rsidRPr="00F82DE9">
        <w:rPr>
          <w:rFonts w:ascii="Calibri" w:eastAsia="Calibri" w:hAnsi="Calibri" w:cs="Times New Roman"/>
          <w:sz w:val="22"/>
          <w:szCs w:val="22"/>
        </w:rPr>
        <w:t xml:space="preserve"> </w:t>
      </w:r>
      <w:r w:rsidR="00281780">
        <w:rPr>
          <w:rFonts w:ascii="Calibri" w:eastAsia="Calibri" w:hAnsi="Calibri" w:cs="Times New Roman"/>
          <w:sz w:val="22"/>
          <w:szCs w:val="22"/>
        </w:rPr>
        <w:t xml:space="preserve">the </w:t>
      </w:r>
      <w:r w:rsidRPr="00F82DE9">
        <w:rPr>
          <w:rFonts w:ascii="Calibri" w:eastAsia="Calibri" w:hAnsi="Calibri" w:cs="Times New Roman"/>
          <w:sz w:val="22"/>
          <w:szCs w:val="22"/>
        </w:rPr>
        <w:t>decedent’s assets exceed the unified credit in place for year the decedent died; and</w:t>
      </w:r>
    </w:p>
    <w:p w14:paraId="1C602D34" w14:textId="77777777" w:rsidR="00F82DE9" w:rsidRPr="00F82DE9" w:rsidRDefault="00F82DE9" w:rsidP="00F82DE9">
      <w:pPr>
        <w:numPr>
          <w:ilvl w:val="0"/>
          <w:numId w:val="1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Execution of personal representative’s title affidavit.</w:t>
      </w:r>
    </w:p>
    <w:p w14:paraId="30B2D771" w14:textId="77777777" w:rsidR="00F82DE9" w:rsidRPr="00F82DE9" w:rsidRDefault="00F82DE9" w:rsidP="00F82DE9">
      <w:pPr>
        <w:ind w:left="1080"/>
        <w:rPr>
          <w:rFonts w:ascii="Calibri" w:eastAsia="Calibri" w:hAnsi="Calibri" w:cs="Times New Roman"/>
          <w:sz w:val="22"/>
          <w:szCs w:val="22"/>
        </w:rPr>
      </w:pPr>
    </w:p>
    <w:p w14:paraId="57FFE2B1"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Claims Against a Maryland Estate</w:t>
      </w:r>
    </w:p>
    <w:p w14:paraId="0EA87593" w14:textId="77777777" w:rsidR="00F82DE9" w:rsidRPr="00F82DE9" w:rsidRDefault="00F82DE9" w:rsidP="00F82DE9">
      <w:pPr>
        <w:ind w:left="360"/>
        <w:rPr>
          <w:rFonts w:ascii="Calibri" w:eastAsia="Calibri" w:hAnsi="Calibri" w:cs="Times New Roman"/>
          <w:b/>
          <w:sz w:val="22"/>
          <w:szCs w:val="22"/>
        </w:rPr>
      </w:pPr>
    </w:p>
    <w:p w14:paraId="6FB330A3" w14:textId="77777777" w:rsidR="00F82DE9" w:rsidRPr="00F82DE9" w:rsidRDefault="00F82DE9" w:rsidP="00F82DE9">
      <w:pPr>
        <w:numPr>
          <w:ilvl w:val="0"/>
          <w:numId w:val="1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Limitation on presentation of claims</w:t>
      </w:r>
    </w:p>
    <w:p w14:paraId="485DCBCF" w14:textId="77777777" w:rsidR="00F82DE9" w:rsidRPr="00F82DE9" w:rsidRDefault="00F82DE9" w:rsidP="00F82DE9">
      <w:pPr>
        <w:numPr>
          <w:ilvl w:val="0"/>
          <w:numId w:val="1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Pursuant to Section 8-103 of the Estates and Trusts Article, in general, claims against an estate of a decedent are forever barred against the estate, the personal representative, and the heirs and devisees, if the claimant did not present his/her claim to the Register of Wills or the personal representative within the </w:t>
      </w:r>
      <w:r w:rsidRPr="00F82DE9">
        <w:rPr>
          <w:rFonts w:ascii="Calibri" w:eastAsia="Calibri" w:hAnsi="Calibri" w:cs="Times New Roman"/>
          <w:sz w:val="22"/>
          <w:szCs w:val="22"/>
          <w:u w:val="single"/>
        </w:rPr>
        <w:t>earlier</w:t>
      </w:r>
      <w:r w:rsidRPr="00F82DE9">
        <w:rPr>
          <w:rFonts w:ascii="Calibri" w:eastAsia="Calibri" w:hAnsi="Calibri" w:cs="Times New Roman"/>
          <w:sz w:val="22"/>
          <w:szCs w:val="22"/>
        </w:rPr>
        <w:t xml:space="preserve"> of:</w:t>
      </w:r>
    </w:p>
    <w:p w14:paraId="5160A1EF" w14:textId="77777777" w:rsidR="00F82DE9" w:rsidRPr="00F82DE9" w:rsidRDefault="00F82DE9" w:rsidP="00F82DE9">
      <w:pPr>
        <w:numPr>
          <w:ilvl w:val="0"/>
          <w:numId w:val="13"/>
        </w:numPr>
        <w:spacing w:after="160" w:line="259" w:lineRule="auto"/>
        <w:ind w:left="2160"/>
        <w:contextualSpacing/>
        <w:rPr>
          <w:rFonts w:ascii="Calibri" w:eastAsia="Calibri" w:hAnsi="Calibri" w:cs="Times New Roman"/>
          <w:sz w:val="22"/>
          <w:szCs w:val="22"/>
        </w:rPr>
      </w:pPr>
      <w:r w:rsidRPr="00F82DE9">
        <w:rPr>
          <w:rFonts w:ascii="Calibri" w:eastAsia="Calibri" w:hAnsi="Calibri" w:cs="Times New Roman"/>
          <w:sz w:val="22"/>
          <w:szCs w:val="22"/>
        </w:rPr>
        <w:t xml:space="preserve">6 months after the </w:t>
      </w:r>
      <w:r w:rsidRPr="00F82DE9">
        <w:rPr>
          <w:rFonts w:ascii="Calibri" w:eastAsia="Calibri" w:hAnsi="Calibri" w:cs="Times New Roman"/>
          <w:sz w:val="22"/>
          <w:szCs w:val="22"/>
          <w:u w:val="single"/>
        </w:rPr>
        <w:t>death</w:t>
      </w:r>
      <w:r w:rsidRPr="00F82DE9">
        <w:rPr>
          <w:rFonts w:ascii="Calibri" w:eastAsia="Calibri" w:hAnsi="Calibri" w:cs="Times New Roman"/>
          <w:sz w:val="22"/>
          <w:szCs w:val="22"/>
        </w:rPr>
        <w:t xml:space="preserve"> of the decedent; or</w:t>
      </w:r>
    </w:p>
    <w:p w14:paraId="03313095" w14:textId="77777777" w:rsidR="00F82DE9" w:rsidRPr="00F82DE9" w:rsidRDefault="00F82DE9" w:rsidP="00F82DE9">
      <w:pPr>
        <w:numPr>
          <w:ilvl w:val="0"/>
          <w:numId w:val="13"/>
        </w:numPr>
        <w:spacing w:after="160" w:line="259" w:lineRule="auto"/>
        <w:ind w:left="2160"/>
        <w:contextualSpacing/>
        <w:rPr>
          <w:rFonts w:ascii="Calibri" w:eastAsia="Calibri" w:hAnsi="Calibri" w:cs="Times New Roman"/>
          <w:sz w:val="22"/>
          <w:szCs w:val="22"/>
        </w:rPr>
      </w:pPr>
      <w:r w:rsidRPr="00F82DE9">
        <w:rPr>
          <w:rFonts w:ascii="Calibri" w:eastAsia="Calibri" w:hAnsi="Calibri" w:cs="Times New Roman"/>
          <w:sz w:val="22"/>
          <w:szCs w:val="22"/>
        </w:rPr>
        <w:t>2 months after the personal representative mails or delivers “Notice of Appointment of Personal Representative” to the creditors.</w:t>
      </w:r>
    </w:p>
    <w:p w14:paraId="1121870B" w14:textId="77777777" w:rsidR="00F82DE9" w:rsidRPr="00F82DE9" w:rsidRDefault="00F82DE9" w:rsidP="00F82DE9">
      <w:pPr>
        <w:numPr>
          <w:ilvl w:val="0"/>
          <w:numId w:val="1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failure of a creditor to receive “Notice of Appointment of Personal Representative” from the personal representative does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extend the time within which the creditor may present his claim beyond 6 months from the date of the decedent’s death. (Section 7-103.1 of the Estates and Trusts Article).</w:t>
      </w:r>
    </w:p>
    <w:p w14:paraId="4E466C57" w14:textId="77777777" w:rsidR="00F82DE9" w:rsidRPr="00F82DE9" w:rsidRDefault="00F82DE9" w:rsidP="00F82DE9">
      <w:pPr>
        <w:ind w:left="1080"/>
        <w:rPr>
          <w:rFonts w:ascii="Calibri" w:eastAsia="Calibri" w:hAnsi="Calibri" w:cs="Times New Roman"/>
          <w:sz w:val="22"/>
          <w:szCs w:val="22"/>
        </w:rPr>
      </w:pPr>
    </w:p>
    <w:p w14:paraId="7EB7310D" w14:textId="77777777" w:rsidR="00F82DE9" w:rsidRPr="00F82DE9" w:rsidRDefault="00F82DE9" w:rsidP="00F82DE9">
      <w:pPr>
        <w:numPr>
          <w:ilvl w:val="0"/>
          <w:numId w:val="1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Conveyance by Personal Representative to Bona Fide Purchaser</w:t>
      </w:r>
    </w:p>
    <w:p w14:paraId="54E1ABB2" w14:textId="77777777" w:rsidR="00F82DE9" w:rsidRPr="00F82DE9" w:rsidRDefault="00F82DE9" w:rsidP="00F82DE9">
      <w:pPr>
        <w:numPr>
          <w:ilvl w:val="0"/>
          <w:numId w:val="1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A bona fide purchaser for value/consideration, purchasing from a personal representative is protected against a valid </w:t>
      </w:r>
      <w:r w:rsidRPr="00AC503B">
        <w:rPr>
          <w:rFonts w:ascii="Calibri" w:eastAsia="Calibri" w:hAnsi="Calibri" w:cs="Times New Roman"/>
          <w:sz w:val="22"/>
          <w:szCs w:val="22"/>
          <w:u w:val="single"/>
        </w:rPr>
        <w:t>claim</w:t>
      </w:r>
      <w:r w:rsidRPr="00F82DE9">
        <w:rPr>
          <w:rFonts w:ascii="Calibri" w:eastAsia="Calibri" w:hAnsi="Calibri" w:cs="Times New Roman"/>
          <w:sz w:val="22"/>
          <w:szCs w:val="22"/>
        </w:rPr>
        <w:t xml:space="preserve"> against a domestic estate, even if the personal representative did not give “Notice of Appointment” to the creditor and even if 6 months have not yet passed from the date of the decedent’s death. There is </w:t>
      </w:r>
      <w:r w:rsidRPr="00F82DE9">
        <w:rPr>
          <w:rFonts w:ascii="Calibri" w:eastAsia="Calibri" w:hAnsi="Calibri" w:cs="Times New Roman"/>
          <w:sz w:val="22"/>
          <w:szCs w:val="22"/>
          <w:u w:val="single"/>
        </w:rPr>
        <w:t>no</w:t>
      </w:r>
      <w:r w:rsidRPr="00F82DE9">
        <w:rPr>
          <w:rFonts w:ascii="Calibri" w:eastAsia="Calibri" w:hAnsi="Calibri" w:cs="Times New Roman"/>
          <w:sz w:val="22"/>
          <w:szCs w:val="22"/>
        </w:rPr>
        <w:t xml:space="preserve"> need to pay off the claim at settlement or to escrow funds until the claim is registered. </w:t>
      </w:r>
      <w:r w:rsidRPr="00F82DE9">
        <w:rPr>
          <w:rFonts w:ascii="Calibri" w:eastAsia="Calibri" w:hAnsi="Calibri" w:cs="Times New Roman"/>
          <w:sz w:val="22"/>
          <w:szCs w:val="22"/>
          <w:u w:val="single"/>
        </w:rPr>
        <w:t>Claims would attach to the proceeds</w:t>
      </w:r>
      <w:r w:rsidRPr="00F82DE9">
        <w:rPr>
          <w:rFonts w:ascii="Calibri" w:eastAsia="Calibri" w:hAnsi="Calibri" w:cs="Times New Roman"/>
          <w:sz w:val="22"/>
          <w:szCs w:val="22"/>
        </w:rPr>
        <w:t xml:space="preserve"> generated by the sale. The personal representative has the fiduciary duty on behalf of the estate to pay all valid claims and the bona fide purchaser’s title is not clouded if the personal representative should misapply funds. (Section 7-404 of the Estates and Trusts Article).</w:t>
      </w:r>
    </w:p>
    <w:p w14:paraId="70849BC3" w14:textId="77777777" w:rsidR="00F82DE9" w:rsidRPr="00F82DE9" w:rsidRDefault="00F82DE9" w:rsidP="00F82DE9">
      <w:pPr>
        <w:ind w:left="1080"/>
        <w:rPr>
          <w:rFonts w:ascii="Calibri" w:eastAsia="Calibri" w:hAnsi="Calibri" w:cs="Times New Roman"/>
          <w:sz w:val="22"/>
          <w:szCs w:val="22"/>
        </w:rPr>
      </w:pPr>
    </w:p>
    <w:p w14:paraId="2A586859" w14:textId="77777777" w:rsidR="00F82DE9" w:rsidRPr="00F82DE9" w:rsidRDefault="00F82DE9" w:rsidP="00F82DE9">
      <w:pPr>
        <w:numPr>
          <w:ilvl w:val="0"/>
          <w:numId w:val="1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Conveyance by Personal Representative to Heirs/Devisees (Distributees)</w:t>
      </w:r>
    </w:p>
    <w:p w14:paraId="1CA7F660" w14:textId="58CA5EEA" w:rsidR="00F82DE9" w:rsidRPr="00F82DE9" w:rsidRDefault="00F82DE9" w:rsidP="00F82DE9">
      <w:pPr>
        <w:numPr>
          <w:ilvl w:val="0"/>
          <w:numId w:val="1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A conveyance by a personal representative to an heir/devisee (distributee) </w:t>
      </w:r>
      <w:r w:rsidRPr="00AC503B">
        <w:rPr>
          <w:rFonts w:ascii="Calibri" w:eastAsia="Calibri" w:hAnsi="Calibri" w:cs="Times New Roman"/>
          <w:sz w:val="22"/>
          <w:szCs w:val="22"/>
          <w:u w:val="single"/>
        </w:rPr>
        <w:t>for</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value/consideration</w:t>
      </w:r>
      <w:r w:rsidRPr="00F82DE9">
        <w:rPr>
          <w:rFonts w:ascii="Calibri" w:eastAsia="Calibri" w:hAnsi="Calibri" w:cs="Times New Roman"/>
          <w:sz w:val="22"/>
          <w:szCs w:val="22"/>
        </w:rPr>
        <w:t xml:space="preserve"> is insurable and there is </w:t>
      </w:r>
      <w:r w:rsidRPr="00F82DE9">
        <w:rPr>
          <w:rFonts w:ascii="Calibri" w:eastAsia="Calibri" w:hAnsi="Calibri" w:cs="Times New Roman"/>
          <w:sz w:val="22"/>
          <w:szCs w:val="22"/>
          <w:u w:val="single"/>
        </w:rPr>
        <w:t>no</w:t>
      </w:r>
      <w:r w:rsidRPr="00F82DE9">
        <w:rPr>
          <w:rFonts w:ascii="Calibri" w:eastAsia="Calibri" w:hAnsi="Calibri" w:cs="Times New Roman"/>
          <w:sz w:val="22"/>
          <w:szCs w:val="22"/>
        </w:rPr>
        <w:t xml:space="preserve"> need to pay off a </w:t>
      </w:r>
      <w:r w:rsidRPr="00AC503B">
        <w:rPr>
          <w:rFonts w:ascii="Calibri" w:eastAsia="Calibri" w:hAnsi="Calibri" w:cs="Times New Roman"/>
          <w:sz w:val="22"/>
          <w:szCs w:val="22"/>
          <w:u w:val="single"/>
        </w:rPr>
        <w:t>cla</w:t>
      </w:r>
      <w:r w:rsidR="00AC503B" w:rsidRPr="00AC503B">
        <w:rPr>
          <w:rFonts w:ascii="Calibri" w:eastAsia="Calibri" w:hAnsi="Calibri" w:cs="Times New Roman"/>
          <w:sz w:val="22"/>
          <w:szCs w:val="22"/>
          <w:u w:val="single"/>
        </w:rPr>
        <w:t>i</w:t>
      </w:r>
      <w:r w:rsidRPr="00AC503B">
        <w:rPr>
          <w:rFonts w:ascii="Calibri" w:eastAsia="Calibri" w:hAnsi="Calibri" w:cs="Times New Roman"/>
          <w:sz w:val="22"/>
          <w:szCs w:val="22"/>
          <w:u w:val="single"/>
        </w:rPr>
        <w:t>m</w:t>
      </w:r>
      <w:r w:rsidRPr="00F82DE9">
        <w:rPr>
          <w:rFonts w:ascii="Calibri" w:eastAsia="Calibri" w:hAnsi="Calibri" w:cs="Times New Roman"/>
          <w:sz w:val="22"/>
          <w:szCs w:val="22"/>
        </w:rPr>
        <w:t xml:space="preserve"> at settlement or to escrow funds until the claim is registered. That heir/devisee would </w:t>
      </w:r>
      <w:proofErr w:type="gramStart"/>
      <w:r w:rsidRPr="00F82DE9">
        <w:rPr>
          <w:rFonts w:ascii="Calibri" w:eastAsia="Calibri" w:hAnsi="Calibri" w:cs="Times New Roman"/>
          <w:sz w:val="22"/>
          <w:szCs w:val="22"/>
        </w:rPr>
        <w:t>be considered to be</w:t>
      </w:r>
      <w:proofErr w:type="gramEnd"/>
      <w:r w:rsidRPr="00F82DE9">
        <w:rPr>
          <w:rFonts w:ascii="Calibri" w:eastAsia="Calibri" w:hAnsi="Calibri" w:cs="Times New Roman"/>
          <w:sz w:val="22"/>
          <w:szCs w:val="22"/>
        </w:rPr>
        <w:t xml:space="preserve"> a bona fide purchaser for value/consideration.</w:t>
      </w:r>
      <w:r w:rsidR="00AC503B">
        <w:rPr>
          <w:rFonts w:ascii="Calibri" w:eastAsia="Calibri" w:hAnsi="Calibri" w:cs="Times New Roman"/>
          <w:sz w:val="22"/>
          <w:szCs w:val="22"/>
        </w:rPr>
        <w:t xml:space="preserve"> But must be a full value purchase.</w:t>
      </w:r>
    </w:p>
    <w:p w14:paraId="72A384C2" w14:textId="77777777" w:rsidR="00F82DE9" w:rsidRPr="00F82DE9" w:rsidRDefault="00F82DE9" w:rsidP="00F82DE9">
      <w:pPr>
        <w:numPr>
          <w:ilvl w:val="0"/>
          <w:numId w:val="1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A conveyance by a personal representative to an heir/devisee (distributee), where </w:t>
      </w:r>
      <w:r w:rsidRPr="00F82DE9">
        <w:rPr>
          <w:rFonts w:ascii="Calibri" w:eastAsia="Calibri" w:hAnsi="Calibri" w:cs="Times New Roman"/>
          <w:sz w:val="22"/>
          <w:szCs w:val="22"/>
          <w:u w:val="single"/>
        </w:rPr>
        <w:t>no consideration</w:t>
      </w:r>
      <w:r w:rsidRPr="00F82DE9">
        <w:rPr>
          <w:rFonts w:ascii="Calibri" w:eastAsia="Calibri" w:hAnsi="Calibri" w:cs="Times New Roman"/>
          <w:sz w:val="22"/>
          <w:szCs w:val="22"/>
        </w:rPr>
        <w:t xml:space="preserve"> is involved, usually necessitates the need for the claim to be paid off before Old Republic National Title Insurance Company (ORNTIC) would insure. Generally, </w:t>
      </w:r>
      <w:r w:rsidRPr="00F82DE9">
        <w:rPr>
          <w:rFonts w:ascii="Calibri" w:eastAsia="Calibri" w:hAnsi="Calibri" w:cs="Times New Roman"/>
          <w:sz w:val="22"/>
          <w:szCs w:val="22"/>
          <w:u w:val="single"/>
        </w:rPr>
        <w:t>no consideration transfers are not insured</w:t>
      </w:r>
      <w:r w:rsidRPr="00F82DE9">
        <w:rPr>
          <w:rFonts w:ascii="Calibri" w:eastAsia="Calibri" w:hAnsi="Calibri" w:cs="Times New Roman"/>
          <w:sz w:val="22"/>
          <w:szCs w:val="22"/>
        </w:rPr>
        <w:t>.</w:t>
      </w:r>
    </w:p>
    <w:p w14:paraId="0628F60C" w14:textId="77777777" w:rsidR="00F82DE9" w:rsidRPr="00F82DE9" w:rsidRDefault="00F82DE9" w:rsidP="00F82DE9">
      <w:pPr>
        <w:ind w:left="1080"/>
        <w:rPr>
          <w:rFonts w:ascii="Calibri" w:eastAsia="Calibri" w:hAnsi="Calibri" w:cs="Times New Roman"/>
          <w:sz w:val="22"/>
          <w:szCs w:val="22"/>
        </w:rPr>
      </w:pPr>
    </w:p>
    <w:p w14:paraId="6C73EFAA" w14:textId="77777777" w:rsidR="00F82DE9" w:rsidRPr="00F82DE9" w:rsidRDefault="00F82DE9" w:rsidP="00F82DE9">
      <w:pPr>
        <w:numPr>
          <w:ilvl w:val="0"/>
          <w:numId w:val="1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Conveyance by Personal Representative to an Heir/Devisee (Distributee) who then conveys to a bona fide purchaser</w:t>
      </w:r>
    </w:p>
    <w:p w14:paraId="36BE4DA3" w14:textId="77777777" w:rsidR="00F82DE9" w:rsidRPr="00F82DE9" w:rsidRDefault="00F82DE9" w:rsidP="00F82DE9">
      <w:pPr>
        <w:numPr>
          <w:ilvl w:val="0"/>
          <w:numId w:val="1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If property is sold to a bona fide purchaser (for value/consideration) by an heir/devisee (distributee), who had taken title to the subject property by deed of distribution from the personal representative, then the bona fide purchaser takes title free and clear of claims against the estate and incurs no personal liability to the estate. The bona fide purchaser need not inquire whether the personal representative acted properly with respect to distributing the property to the heir/devisee (distributee). (Section 9-106(c) of the Estates and Trusts Article).</w:t>
      </w:r>
    </w:p>
    <w:p w14:paraId="3DB529E0" w14:textId="77777777" w:rsidR="00F82DE9" w:rsidRPr="00F82DE9" w:rsidRDefault="00F82DE9" w:rsidP="00F82DE9">
      <w:pPr>
        <w:ind w:left="720"/>
        <w:rPr>
          <w:rFonts w:ascii="Calibri" w:eastAsia="Calibri" w:hAnsi="Calibri" w:cs="Times New Roman"/>
          <w:sz w:val="22"/>
          <w:szCs w:val="22"/>
        </w:rPr>
      </w:pPr>
    </w:p>
    <w:p w14:paraId="6A145109"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Maryland Inheritance Tax</w:t>
      </w:r>
    </w:p>
    <w:p w14:paraId="2875BE3B"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Why?</w:t>
      </w:r>
    </w:p>
    <w:p w14:paraId="480FAFDB" w14:textId="77777777" w:rsidR="00F82DE9" w:rsidRPr="00F82DE9" w:rsidRDefault="00F82DE9" w:rsidP="00F82DE9">
      <w:pPr>
        <w:numPr>
          <w:ilvl w:val="0"/>
          <w:numId w:val="1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Maryland Inheritance Tax is a tax imposed on the privilege of receiving property that passes from a decedent and has a taxable situs in Maryland. (Section 7-202 of the Tax-General Article). The inheritance tax is not a tax upon the property </w:t>
      </w:r>
      <w:proofErr w:type="gramStart"/>
      <w:r w:rsidRPr="00F82DE9">
        <w:rPr>
          <w:rFonts w:ascii="Calibri" w:eastAsia="Calibri" w:hAnsi="Calibri" w:cs="Times New Roman"/>
          <w:sz w:val="22"/>
          <w:szCs w:val="22"/>
        </w:rPr>
        <w:t>itself, but</w:t>
      </w:r>
      <w:proofErr w:type="gramEnd"/>
      <w:r w:rsidRPr="00F82DE9">
        <w:rPr>
          <w:rFonts w:ascii="Calibri" w:eastAsia="Calibri" w:hAnsi="Calibri" w:cs="Times New Roman"/>
          <w:sz w:val="22"/>
          <w:szCs w:val="22"/>
        </w:rPr>
        <w:t xml:space="preserve"> is merely the price exacted by the State of Maryland, for the privilege accorded, in permitting property to be transmitted by will, or by descent or distribution. </w:t>
      </w:r>
      <w:r w:rsidRPr="00F82DE9">
        <w:rPr>
          <w:rFonts w:ascii="Calibri" w:eastAsia="Calibri" w:hAnsi="Calibri" w:cs="Times New Roman"/>
          <w:sz w:val="22"/>
          <w:szCs w:val="22"/>
          <w:u w:val="single"/>
        </w:rPr>
        <w:t xml:space="preserve">State v. </w:t>
      </w:r>
      <w:proofErr w:type="spellStart"/>
      <w:r w:rsidRPr="00F82DE9">
        <w:rPr>
          <w:rFonts w:ascii="Calibri" w:eastAsia="Calibri" w:hAnsi="Calibri" w:cs="Times New Roman"/>
          <w:sz w:val="22"/>
          <w:szCs w:val="22"/>
          <w:u w:val="single"/>
        </w:rPr>
        <w:t>Dalrympe</w:t>
      </w:r>
      <w:proofErr w:type="spellEnd"/>
      <w:r w:rsidRPr="00F82DE9">
        <w:rPr>
          <w:rFonts w:ascii="Calibri" w:eastAsia="Calibri" w:hAnsi="Calibri" w:cs="Times New Roman"/>
          <w:sz w:val="22"/>
          <w:szCs w:val="22"/>
          <w:u w:val="single"/>
        </w:rPr>
        <w:t>,</w:t>
      </w:r>
      <w:r w:rsidRPr="00F82DE9">
        <w:rPr>
          <w:rFonts w:ascii="Calibri" w:eastAsia="Calibri" w:hAnsi="Calibri" w:cs="Times New Roman"/>
          <w:sz w:val="22"/>
          <w:szCs w:val="22"/>
        </w:rPr>
        <w:t xml:space="preserve"> 70 Md., 294, 17 A.82 (1889). The Maryland Inheritance Tax is imposed on the privilege of becoming a beneficiary under a will or succeeding to an inheritance.</w:t>
      </w:r>
    </w:p>
    <w:p w14:paraId="1CDA36E8" w14:textId="77777777" w:rsidR="00F82DE9" w:rsidRPr="00F82DE9" w:rsidRDefault="00F82DE9" w:rsidP="00F82DE9">
      <w:pPr>
        <w:ind w:left="1080"/>
        <w:rPr>
          <w:rFonts w:ascii="Calibri" w:eastAsia="Calibri" w:hAnsi="Calibri" w:cs="Times New Roman"/>
          <w:sz w:val="22"/>
          <w:szCs w:val="22"/>
        </w:rPr>
      </w:pPr>
    </w:p>
    <w:p w14:paraId="768B08F0" w14:textId="77777777" w:rsidR="00F82DE9" w:rsidRPr="00F82DE9" w:rsidRDefault="00F82DE9" w:rsidP="00F82DE9">
      <w:pPr>
        <w:ind w:left="1080"/>
        <w:rPr>
          <w:rFonts w:ascii="Calibri" w:eastAsia="Calibri" w:hAnsi="Calibri" w:cs="Times New Roman"/>
          <w:sz w:val="22"/>
          <w:szCs w:val="22"/>
        </w:rPr>
      </w:pPr>
    </w:p>
    <w:p w14:paraId="4EE2E8AE"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Maryland Inheritance Tax Lien for persons dying </w:t>
      </w:r>
      <w:r w:rsidRPr="00F82DE9">
        <w:rPr>
          <w:rFonts w:ascii="Calibri" w:eastAsia="Calibri" w:hAnsi="Calibri" w:cs="Times New Roman"/>
          <w:sz w:val="22"/>
          <w:szCs w:val="22"/>
          <w:u w:val="single"/>
        </w:rPr>
        <w:t>on or after January 1, 1989</w:t>
      </w:r>
    </w:p>
    <w:p w14:paraId="72054109" w14:textId="73C11E90" w:rsidR="00F82DE9" w:rsidRPr="00F82DE9" w:rsidRDefault="00F82DE9" w:rsidP="00F82DE9">
      <w:pPr>
        <w:numPr>
          <w:ilvl w:val="0"/>
          <w:numId w:val="2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Maryland Inheritance Taxes are a lien on real property owned by the decedent for a period of </w:t>
      </w:r>
      <w:r w:rsidR="00A1047B" w:rsidRPr="00A1047B">
        <w:rPr>
          <w:rFonts w:ascii="Calibri" w:eastAsia="Calibri" w:hAnsi="Calibri" w:cs="Times New Roman"/>
          <w:sz w:val="22"/>
          <w:szCs w:val="22"/>
          <w:u w:val="single"/>
        </w:rPr>
        <w:t>20</w:t>
      </w:r>
      <w:r w:rsidRPr="00F82DE9">
        <w:rPr>
          <w:rFonts w:ascii="Calibri" w:eastAsia="Calibri" w:hAnsi="Calibri" w:cs="Times New Roman"/>
          <w:sz w:val="22"/>
          <w:szCs w:val="22"/>
          <w:u w:val="single"/>
        </w:rPr>
        <w:t xml:space="preserve"> years</w:t>
      </w:r>
      <w:r w:rsidRPr="00F82DE9">
        <w:rPr>
          <w:rFonts w:ascii="Calibri" w:eastAsia="Calibri" w:hAnsi="Calibri" w:cs="Times New Roman"/>
          <w:sz w:val="22"/>
          <w:szCs w:val="22"/>
        </w:rPr>
        <w:t xml:space="preserve"> from date of </w:t>
      </w:r>
      <w:r w:rsidRPr="00F82DE9">
        <w:rPr>
          <w:rFonts w:ascii="Calibri" w:eastAsia="Calibri" w:hAnsi="Calibri" w:cs="Times New Roman"/>
          <w:sz w:val="22"/>
          <w:szCs w:val="22"/>
          <w:u w:val="single"/>
        </w:rPr>
        <w:t>distribution</w:t>
      </w:r>
      <w:r w:rsidRPr="00F82DE9">
        <w:rPr>
          <w:rFonts w:ascii="Calibri" w:eastAsia="Calibri" w:hAnsi="Calibri" w:cs="Times New Roman"/>
          <w:sz w:val="22"/>
          <w:szCs w:val="22"/>
        </w:rPr>
        <w:t>. (Section 13-805 of the Tax-General Article). However, a “</w:t>
      </w:r>
      <w:r w:rsidRPr="00F82DE9">
        <w:rPr>
          <w:rFonts w:ascii="Calibri" w:eastAsia="Calibri" w:hAnsi="Calibri" w:cs="Times New Roman"/>
          <w:sz w:val="22"/>
          <w:szCs w:val="22"/>
          <w:u w:val="single"/>
        </w:rPr>
        <w:t>Notice of Tax Lien</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must</w:t>
      </w:r>
      <w:r w:rsidRPr="00F82DE9">
        <w:rPr>
          <w:rFonts w:ascii="Calibri" w:eastAsia="Calibri" w:hAnsi="Calibri" w:cs="Times New Roman"/>
          <w:sz w:val="22"/>
          <w:szCs w:val="22"/>
        </w:rPr>
        <w:t xml:space="preserve"> be filed by the tax collector, in the Circuit Court for the county where the property that is subject to the lien is located, </w:t>
      </w:r>
      <w:r w:rsidRPr="00F82DE9">
        <w:rPr>
          <w:rFonts w:ascii="Calibri" w:eastAsia="Calibri" w:hAnsi="Calibri" w:cs="Times New Roman"/>
          <w:sz w:val="22"/>
          <w:szCs w:val="22"/>
          <w:u w:val="single"/>
        </w:rPr>
        <w:t>before the tax lien can be valid against any purchaser, holder of a security interest, mechanic’s lienor or judgment creditor</w:t>
      </w:r>
      <w:r w:rsidRPr="00F82DE9">
        <w:rPr>
          <w:rFonts w:ascii="Calibri" w:eastAsia="Calibri" w:hAnsi="Calibri" w:cs="Times New Roman"/>
          <w:sz w:val="22"/>
          <w:szCs w:val="22"/>
        </w:rPr>
        <w:t xml:space="preserve">. (Section 13-807 and 13-809 of the Tax-General Article). In summary, Maryland Inheritance Tax does not have to be paid at settlement </w:t>
      </w:r>
      <w:proofErr w:type="gramStart"/>
      <w:r w:rsidRPr="00F82DE9">
        <w:rPr>
          <w:rFonts w:ascii="Calibri" w:eastAsia="Calibri" w:hAnsi="Calibri" w:cs="Times New Roman"/>
          <w:sz w:val="22"/>
          <w:szCs w:val="22"/>
        </w:rPr>
        <w:t>as long as</w:t>
      </w:r>
      <w:proofErr w:type="gramEnd"/>
      <w:r w:rsidRPr="00F82DE9">
        <w:rPr>
          <w:rFonts w:ascii="Calibri" w:eastAsia="Calibri" w:hAnsi="Calibri" w:cs="Times New Roman"/>
          <w:sz w:val="22"/>
          <w:szCs w:val="22"/>
        </w:rPr>
        <w:t xml:space="preserve"> </w:t>
      </w:r>
      <w:r w:rsidRPr="0018353F">
        <w:rPr>
          <w:rFonts w:ascii="Calibri" w:eastAsia="Calibri" w:hAnsi="Calibri" w:cs="Times New Roman"/>
          <w:sz w:val="22"/>
          <w:szCs w:val="22"/>
          <w:u w:val="single"/>
        </w:rPr>
        <w:t>no</w:t>
      </w:r>
      <w:r w:rsidRPr="00F82DE9">
        <w:rPr>
          <w:rFonts w:ascii="Calibri" w:eastAsia="Calibri" w:hAnsi="Calibri" w:cs="Times New Roman"/>
          <w:sz w:val="22"/>
          <w:szCs w:val="22"/>
        </w:rPr>
        <w:t xml:space="preserve"> Notice of Lien has been filed/recorded, the estate is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a foreign estate, and we have a bona fide purchaser.</w:t>
      </w:r>
    </w:p>
    <w:p w14:paraId="4E9CF0B4" w14:textId="77777777" w:rsidR="00F82DE9" w:rsidRPr="00F82DE9" w:rsidRDefault="00F82DE9" w:rsidP="00F82DE9">
      <w:pPr>
        <w:numPr>
          <w:ilvl w:val="0"/>
          <w:numId w:val="2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By filing a “Notice of Tax Lien” under Section 13-807 of the Tax-General Article, the State of Maryland obtains a lien as of the date of the filing of the Notice but is subordinate to any prior perfected security interest.</w:t>
      </w:r>
    </w:p>
    <w:p w14:paraId="75CAFBBC" w14:textId="77777777" w:rsidR="00F82DE9" w:rsidRPr="00F82DE9" w:rsidRDefault="00F82DE9" w:rsidP="00F82DE9">
      <w:pPr>
        <w:ind w:left="1080"/>
        <w:rPr>
          <w:rFonts w:ascii="Calibri" w:eastAsia="Calibri" w:hAnsi="Calibri" w:cs="Times New Roman"/>
          <w:sz w:val="22"/>
          <w:szCs w:val="22"/>
        </w:rPr>
      </w:pPr>
    </w:p>
    <w:p w14:paraId="07284D0B"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Underwriting Guidelines</w:t>
      </w:r>
    </w:p>
    <w:p w14:paraId="30204848" w14:textId="77777777" w:rsidR="00F82DE9" w:rsidRPr="00F82DE9" w:rsidRDefault="00F82DE9" w:rsidP="00F82DE9">
      <w:pPr>
        <w:numPr>
          <w:ilvl w:val="0"/>
          <w:numId w:val="2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ORNTIC does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require its title agents to collect the Maryland Inheritance Tax at settlement </w:t>
      </w:r>
      <w:proofErr w:type="gramStart"/>
      <w:r w:rsidRPr="00F82DE9">
        <w:rPr>
          <w:rFonts w:ascii="Calibri" w:eastAsia="Calibri" w:hAnsi="Calibri" w:cs="Times New Roman"/>
          <w:sz w:val="22"/>
          <w:szCs w:val="22"/>
        </w:rPr>
        <w:t>as long as</w:t>
      </w:r>
      <w:proofErr w:type="gramEnd"/>
      <w:r w:rsidRPr="00F82DE9">
        <w:rPr>
          <w:rFonts w:ascii="Calibri" w:eastAsia="Calibri" w:hAnsi="Calibri" w:cs="Times New Roman"/>
          <w:sz w:val="22"/>
          <w:szCs w:val="22"/>
        </w:rPr>
        <w:t>:</w:t>
      </w:r>
    </w:p>
    <w:p w14:paraId="6181CF37" w14:textId="77777777" w:rsidR="00F82DE9" w:rsidRPr="00F82DE9" w:rsidRDefault="00F82DE9" w:rsidP="00F82DE9">
      <w:pPr>
        <w:numPr>
          <w:ilvl w:val="0"/>
          <w:numId w:val="2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bona fide purchaser for value/consideration is purchasing the real property; and</w:t>
      </w:r>
    </w:p>
    <w:p w14:paraId="4BF761BF" w14:textId="77777777" w:rsidR="00F82DE9" w:rsidRPr="00F82DE9" w:rsidRDefault="00F82DE9" w:rsidP="00F82DE9">
      <w:pPr>
        <w:numPr>
          <w:ilvl w:val="0"/>
          <w:numId w:val="2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No “Notice of Lien” has been filed with the Circuit Court; and</w:t>
      </w:r>
    </w:p>
    <w:p w14:paraId="6C6DC463" w14:textId="77777777" w:rsidR="00F82DE9" w:rsidRPr="00F82DE9" w:rsidRDefault="00F82DE9" w:rsidP="00F82DE9">
      <w:pPr>
        <w:numPr>
          <w:ilvl w:val="0"/>
          <w:numId w:val="2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No heir or devisee (distributee) is taking title from the personal representative by way of a Deed of Distribution (not for value/consideration); and</w:t>
      </w:r>
    </w:p>
    <w:p w14:paraId="4A13E84D" w14:textId="77777777" w:rsidR="00F82DE9" w:rsidRPr="00F82DE9" w:rsidRDefault="00F82DE9" w:rsidP="00F82DE9">
      <w:pPr>
        <w:numPr>
          <w:ilvl w:val="0"/>
          <w:numId w:val="2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The estate is not a foreign estate/foreign personal representative.</w:t>
      </w:r>
    </w:p>
    <w:p w14:paraId="78C39FD2" w14:textId="77777777" w:rsidR="00F82DE9" w:rsidRPr="00F82DE9" w:rsidRDefault="00F82DE9" w:rsidP="00F82DE9">
      <w:pPr>
        <w:ind w:left="1440"/>
        <w:rPr>
          <w:rFonts w:ascii="Calibri" w:eastAsia="Calibri" w:hAnsi="Calibri" w:cs="Times New Roman"/>
          <w:sz w:val="22"/>
          <w:szCs w:val="22"/>
        </w:rPr>
      </w:pPr>
    </w:p>
    <w:p w14:paraId="03D730EE" w14:textId="77777777" w:rsidR="00F82DE9" w:rsidRPr="00F82DE9" w:rsidRDefault="00F82DE9" w:rsidP="00F82DE9">
      <w:pPr>
        <w:numPr>
          <w:ilvl w:val="0"/>
          <w:numId w:val="2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logic for not requiring the collection of Maryland Inheritance Tax at settlement, centers around the </w:t>
      </w:r>
      <w:r w:rsidRPr="00F82DE9">
        <w:rPr>
          <w:rFonts w:ascii="Calibri" w:eastAsia="Calibri" w:hAnsi="Calibri" w:cs="Times New Roman"/>
          <w:sz w:val="22"/>
          <w:szCs w:val="22"/>
          <w:u w:val="single"/>
        </w:rPr>
        <w:t>theory that the lien follows the proceeds of sale, not the property</w:t>
      </w:r>
      <w:r w:rsidRPr="00F82DE9">
        <w:rPr>
          <w:rFonts w:ascii="Calibri" w:eastAsia="Calibri" w:hAnsi="Calibri" w:cs="Times New Roman"/>
          <w:sz w:val="22"/>
          <w:szCs w:val="22"/>
        </w:rPr>
        <w:t xml:space="preserve">. (Section 13-809 of the Tax-General Article). Essentially, the inheritance tax is imposed once the estate has been distributed. </w:t>
      </w:r>
      <w:r w:rsidRPr="00F82DE9">
        <w:rPr>
          <w:rFonts w:ascii="Calibri" w:eastAsia="Calibri" w:hAnsi="Calibri" w:cs="Times New Roman"/>
          <w:sz w:val="22"/>
          <w:szCs w:val="22"/>
          <w:u w:val="single"/>
        </w:rPr>
        <w:t>Bouse v. Hull</w:t>
      </w:r>
      <w:r w:rsidRPr="00F82DE9">
        <w:rPr>
          <w:rFonts w:ascii="Calibri" w:eastAsia="Calibri" w:hAnsi="Calibri" w:cs="Times New Roman"/>
          <w:sz w:val="22"/>
          <w:szCs w:val="22"/>
        </w:rPr>
        <w:t>, 168 Md., 176A 645 (1935).</w:t>
      </w:r>
    </w:p>
    <w:p w14:paraId="717CD4D4" w14:textId="77777777" w:rsidR="00F82DE9" w:rsidRPr="00F82DE9" w:rsidRDefault="00F82DE9" w:rsidP="00F82DE9">
      <w:pPr>
        <w:numPr>
          <w:ilvl w:val="0"/>
          <w:numId w:val="2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ORNTIC requires the personal representative to sign a “Personal Representative’s Title Affidavit.”</w:t>
      </w:r>
    </w:p>
    <w:p w14:paraId="5CFDB5F6" w14:textId="77777777" w:rsidR="00F82DE9" w:rsidRPr="00F82DE9" w:rsidRDefault="00F82DE9" w:rsidP="00F82DE9">
      <w:pPr>
        <w:ind w:left="1080"/>
        <w:rPr>
          <w:rFonts w:ascii="Calibri" w:eastAsia="Calibri" w:hAnsi="Calibri" w:cs="Times New Roman"/>
          <w:sz w:val="22"/>
          <w:szCs w:val="22"/>
        </w:rPr>
      </w:pPr>
    </w:p>
    <w:p w14:paraId="0C3A7C68"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Surviving Spouse</w:t>
      </w:r>
    </w:p>
    <w:p w14:paraId="3AC353AF" w14:textId="77777777" w:rsidR="00F82DE9" w:rsidRPr="00F82DE9" w:rsidRDefault="00F82DE9" w:rsidP="00F82DE9">
      <w:pPr>
        <w:numPr>
          <w:ilvl w:val="0"/>
          <w:numId w:val="2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Maryland Inheritance Taxes are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assessed on the receipt of property that passes from a decedent to the surviving spouse of the decedent, if title to the property was held in the name of the decedent and the surviving spouse, as husband and wife. (Section 7-203(j) of the Tax-General Article)</w:t>
      </w:r>
    </w:p>
    <w:p w14:paraId="726E395D" w14:textId="77777777" w:rsidR="00F82DE9" w:rsidRPr="00F82DE9" w:rsidRDefault="00F82DE9" w:rsidP="00F82DE9">
      <w:pPr>
        <w:ind w:left="1080"/>
        <w:rPr>
          <w:rFonts w:ascii="Calibri" w:eastAsia="Calibri" w:hAnsi="Calibri" w:cs="Times New Roman"/>
          <w:sz w:val="22"/>
          <w:szCs w:val="22"/>
        </w:rPr>
      </w:pPr>
    </w:p>
    <w:p w14:paraId="7B46DE11"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Trust</w:t>
      </w:r>
    </w:p>
    <w:p w14:paraId="68C23872" w14:textId="77777777" w:rsidR="00F82DE9" w:rsidRPr="00F82DE9" w:rsidRDefault="00F82DE9" w:rsidP="00F82DE9">
      <w:pPr>
        <w:numPr>
          <w:ilvl w:val="0"/>
          <w:numId w:val="2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In general, when title agents are conducting settlements where a family trust/trustee has legal title to real property that is being conveyed and the settlor has died, Maryland Inheritance Tax does not need to be collected at settlement.</w:t>
      </w:r>
    </w:p>
    <w:p w14:paraId="7DFC5A6E" w14:textId="52BE7CFD" w:rsidR="00F82DE9" w:rsidRDefault="00F82DE9" w:rsidP="00F82DE9">
      <w:pPr>
        <w:ind w:left="1080"/>
        <w:rPr>
          <w:rFonts w:ascii="Calibri" w:eastAsia="Calibri" w:hAnsi="Calibri" w:cs="Times New Roman"/>
          <w:sz w:val="22"/>
          <w:szCs w:val="22"/>
        </w:rPr>
      </w:pPr>
    </w:p>
    <w:p w14:paraId="70CDC75B" w14:textId="77777777" w:rsidR="00A1047B" w:rsidRPr="00F82DE9" w:rsidRDefault="00A1047B" w:rsidP="00F82DE9">
      <w:pPr>
        <w:ind w:left="1080"/>
        <w:rPr>
          <w:rFonts w:ascii="Calibri" w:eastAsia="Calibri" w:hAnsi="Calibri" w:cs="Times New Roman"/>
          <w:sz w:val="22"/>
          <w:szCs w:val="22"/>
        </w:rPr>
      </w:pPr>
    </w:p>
    <w:p w14:paraId="5526392D"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Surviving Joint Tenant/Remainderman</w:t>
      </w:r>
    </w:p>
    <w:p w14:paraId="366C6012" w14:textId="77777777" w:rsidR="00F82DE9" w:rsidRPr="00F82DE9" w:rsidRDefault="00F82DE9" w:rsidP="00F82DE9">
      <w:pPr>
        <w:numPr>
          <w:ilvl w:val="0"/>
          <w:numId w:val="2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A surviving remainderman is liable for all Maryland Inheritance Taxed imposed by reason of the death of the life estate tenant. Additionally, surviving joint tenants are jointly and severally liable for Maryland Inheritance Taxes arising by reason of their succession to an undivided interest in the property from the deceased cotenant. See </w:t>
      </w:r>
      <w:r w:rsidRPr="00F82DE9">
        <w:rPr>
          <w:rFonts w:ascii="Calibri" w:eastAsia="Calibri" w:hAnsi="Calibri" w:cs="Times New Roman"/>
          <w:sz w:val="22"/>
          <w:szCs w:val="22"/>
          <w:u w:val="single"/>
        </w:rPr>
        <w:t xml:space="preserve">63 Op. </w:t>
      </w:r>
      <w:proofErr w:type="spellStart"/>
      <w:r w:rsidRPr="00F82DE9">
        <w:rPr>
          <w:rFonts w:ascii="Calibri" w:eastAsia="Calibri" w:hAnsi="Calibri" w:cs="Times New Roman"/>
          <w:sz w:val="22"/>
          <w:szCs w:val="22"/>
          <w:u w:val="single"/>
        </w:rPr>
        <w:t>Att’y</w:t>
      </w:r>
      <w:proofErr w:type="spellEnd"/>
      <w:r w:rsidRPr="00F82DE9">
        <w:rPr>
          <w:rFonts w:ascii="Calibri" w:eastAsia="Calibri" w:hAnsi="Calibri" w:cs="Times New Roman"/>
          <w:sz w:val="22"/>
          <w:szCs w:val="22"/>
          <w:u w:val="single"/>
        </w:rPr>
        <w:t xml:space="preserve"> Gen. 626 (1978).</w:t>
      </w:r>
      <w:r w:rsidRPr="00F82DE9">
        <w:rPr>
          <w:rFonts w:ascii="Calibri" w:eastAsia="Calibri" w:hAnsi="Calibri" w:cs="Times New Roman"/>
          <w:sz w:val="22"/>
          <w:szCs w:val="22"/>
        </w:rPr>
        <w:t xml:space="preserve"> In situations where you have a </w:t>
      </w:r>
      <w:r w:rsidRPr="00F82DE9">
        <w:rPr>
          <w:rFonts w:ascii="Calibri" w:eastAsia="Calibri" w:hAnsi="Calibri" w:cs="Times New Roman"/>
          <w:sz w:val="22"/>
          <w:szCs w:val="22"/>
          <w:u w:val="single"/>
        </w:rPr>
        <w:t>surviving joint tenant</w:t>
      </w:r>
      <w:r w:rsidRPr="00F82DE9">
        <w:rPr>
          <w:rFonts w:ascii="Calibri" w:eastAsia="Calibri" w:hAnsi="Calibri" w:cs="Times New Roman"/>
          <w:sz w:val="22"/>
          <w:szCs w:val="22"/>
        </w:rPr>
        <w:t xml:space="preserve"> or </w:t>
      </w:r>
      <w:r w:rsidRPr="00F82DE9">
        <w:rPr>
          <w:rFonts w:ascii="Calibri" w:eastAsia="Calibri" w:hAnsi="Calibri" w:cs="Times New Roman"/>
          <w:sz w:val="22"/>
          <w:szCs w:val="22"/>
          <w:u w:val="single"/>
        </w:rPr>
        <w:t>remainderman</w:t>
      </w:r>
      <w:r w:rsidRPr="00F82DE9">
        <w:rPr>
          <w:rFonts w:ascii="Calibri" w:eastAsia="Calibri" w:hAnsi="Calibri" w:cs="Times New Roman"/>
          <w:sz w:val="22"/>
          <w:szCs w:val="22"/>
        </w:rPr>
        <w:t xml:space="preserve"> (not a probated estate with a personal representative) conveying real property, ORNTIC requires its title agents to collect the Maryland Inheritance Taxes at settlement, regardless of when the deceased cotenant or life estate tenant died. If you contact the Register of Wills in the county where the subject property is located, they will forward to you an Application to Fix Inheritance Taxes on Non-probate Assets (Form RW-1 125) and an Information Report (Form RW-1124), that must be completed and signed by the surviving joint tenant or remainderman and sent back to the Register of Wills, who will then provide an exact amount to collect at settlement for the payment of Maryland Inheritance Taxes. The Register of Wills takes the position that the lien does not arise until they receive notice of the joint tenant’s or life estate tenant’s death.</w:t>
      </w:r>
    </w:p>
    <w:p w14:paraId="76AE5B84" w14:textId="77777777" w:rsidR="00F82DE9" w:rsidRPr="00F82DE9" w:rsidRDefault="00F82DE9" w:rsidP="00F82DE9">
      <w:pPr>
        <w:numPr>
          <w:ilvl w:val="0"/>
          <w:numId w:val="2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If your present grantor is not the surviving joint tenant or remainderman (</w:t>
      </w:r>
      <w:proofErr w:type="gramStart"/>
      <w:r w:rsidRPr="00F82DE9">
        <w:rPr>
          <w:rFonts w:ascii="Calibri" w:eastAsia="Calibri" w:hAnsi="Calibri" w:cs="Times New Roman"/>
          <w:sz w:val="22"/>
          <w:szCs w:val="22"/>
        </w:rPr>
        <w:t>i.e.</w:t>
      </w:r>
      <w:proofErr w:type="gramEnd"/>
      <w:r w:rsidRPr="00F82DE9">
        <w:rPr>
          <w:rFonts w:ascii="Calibri" w:eastAsia="Calibri" w:hAnsi="Calibri" w:cs="Times New Roman"/>
          <w:sz w:val="22"/>
          <w:szCs w:val="22"/>
        </w:rPr>
        <w:t xml:space="preserve"> the surviving joint tenant or remainderman was a grantor in your chain of title but is no longer your present owner) and no “Notice of Lien” has been filed, ORNTIC will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require its title agents to collect Maryland Inheritance Tax at settlement.</w:t>
      </w:r>
    </w:p>
    <w:p w14:paraId="19F9D403" w14:textId="77777777" w:rsidR="00F82DE9" w:rsidRPr="00F82DE9" w:rsidRDefault="00F82DE9" w:rsidP="00F82DE9">
      <w:pPr>
        <w:ind w:left="1080"/>
        <w:rPr>
          <w:rFonts w:ascii="Calibri" w:eastAsia="Calibri" w:hAnsi="Calibri" w:cs="Times New Roman"/>
          <w:sz w:val="22"/>
          <w:szCs w:val="22"/>
        </w:rPr>
      </w:pPr>
    </w:p>
    <w:p w14:paraId="204730B6"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Maryland Inheritance Tax Rate</w:t>
      </w:r>
    </w:p>
    <w:p w14:paraId="662483BE" w14:textId="77777777" w:rsidR="00F82DE9" w:rsidRPr="00F82DE9" w:rsidRDefault="00F82DE9" w:rsidP="00F82DE9">
      <w:pPr>
        <w:numPr>
          <w:ilvl w:val="0"/>
          <w:numId w:val="2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1% Lineal Tax Rate (grandparent, parent, spouse or child of the decedent) has been repealed for decedents dying as of </w:t>
      </w:r>
      <w:r w:rsidRPr="00F82DE9">
        <w:rPr>
          <w:rFonts w:ascii="Calibri" w:eastAsia="Calibri" w:hAnsi="Calibri" w:cs="Times New Roman"/>
          <w:sz w:val="22"/>
          <w:szCs w:val="22"/>
          <w:u w:val="single"/>
        </w:rPr>
        <w:t>July 1, 2000</w:t>
      </w:r>
      <w:r w:rsidRPr="00F82DE9">
        <w:rPr>
          <w:rFonts w:ascii="Calibri" w:eastAsia="Calibri" w:hAnsi="Calibri" w:cs="Times New Roman"/>
          <w:sz w:val="22"/>
          <w:szCs w:val="22"/>
        </w:rPr>
        <w:t xml:space="preserve"> and thereafter. (Section 7-203 of the Tax-General Article).</w:t>
      </w:r>
    </w:p>
    <w:p w14:paraId="21DEF0C2" w14:textId="77777777" w:rsidR="00F82DE9" w:rsidRPr="00F82DE9" w:rsidRDefault="00F82DE9" w:rsidP="00F82DE9">
      <w:pPr>
        <w:numPr>
          <w:ilvl w:val="0"/>
          <w:numId w:val="2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10% Collateral Tax Rate (non-lineal descendants). The collateral tax rate has been repealed relative to brothers and/or sisters of a decedent, if that decedent died on or after </w:t>
      </w:r>
      <w:r w:rsidRPr="00F82DE9">
        <w:rPr>
          <w:rFonts w:ascii="Calibri" w:eastAsia="Calibri" w:hAnsi="Calibri" w:cs="Times New Roman"/>
          <w:sz w:val="22"/>
          <w:szCs w:val="22"/>
          <w:u w:val="single"/>
        </w:rPr>
        <w:t>July 1, 2000</w:t>
      </w:r>
      <w:r w:rsidRPr="00F82DE9">
        <w:rPr>
          <w:rFonts w:ascii="Calibri" w:eastAsia="Calibri" w:hAnsi="Calibri" w:cs="Times New Roman"/>
          <w:sz w:val="22"/>
          <w:szCs w:val="22"/>
        </w:rPr>
        <w:t xml:space="preserve">. However, the Collateral Tax Rate remains in place </w:t>
      </w:r>
      <w:proofErr w:type="gramStart"/>
      <w:r w:rsidRPr="00F82DE9">
        <w:rPr>
          <w:rFonts w:ascii="Calibri" w:eastAsia="Calibri" w:hAnsi="Calibri" w:cs="Times New Roman"/>
          <w:sz w:val="22"/>
          <w:szCs w:val="22"/>
        </w:rPr>
        <w:t>with regard to</w:t>
      </w:r>
      <w:proofErr w:type="gramEnd"/>
      <w:r w:rsidRPr="00F82DE9">
        <w:rPr>
          <w:rFonts w:ascii="Calibri" w:eastAsia="Calibri" w:hAnsi="Calibri" w:cs="Times New Roman"/>
          <w:sz w:val="22"/>
          <w:szCs w:val="22"/>
        </w:rPr>
        <w:t xml:space="preserve"> all other non-lineal descendants. (Section 7-203 and 7-204 of the Tax-General Article). Because the tax is imposed on the right to receive, the relationship between the deceased and the person to whom the property passes, determines the rate of tax. </w:t>
      </w:r>
      <w:r w:rsidRPr="00F82DE9">
        <w:rPr>
          <w:rFonts w:ascii="Calibri" w:eastAsia="Calibri" w:hAnsi="Calibri" w:cs="Times New Roman"/>
          <w:sz w:val="22"/>
          <w:szCs w:val="22"/>
          <w:u w:val="single"/>
        </w:rPr>
        <w:t>Mercantile-Safe Deposit &amp; Trust Co. v. Register of Wills,</w:t>
      </w:r>
      <w:r w:rsidRPr="00F82DE9">
        <w:rPr>
          <w:rFonts w:ascii="Calibri" w:eastAsia="Calibri" w:hAnsi="Calibri" w:cs="Times New Roman"/>
          <w:sz w:val="22"/>
          <w:szCs w:val="22"/>
        </w:rPr>
        <w:t xml:space="preserve"> 52 Md. 311, 250 </w:t>
      </w:r>
      <w:proofErr w:type="spellStart"/>
      <w:r w:rsidRPr="00F82DE9">
        <w:rPr>
          <w:rFonts w:ascii="Calibri" w:eastAsia="Calibri" w:hAnsi="Calibri" w:cs="Times New Roman"/>
          <w:sz w:val="22"/>
          <w:szCs w:val="22"/>
        </w:rPr>
        <w:t>A.d.</w:t>
      </w:r>
      <w:proofErr w:type="spellEnd"/>
      <w:r w:rsidRPr="00F82DE9">
        <w:rPr>
          <w:rFonts w:ascii="Calibri" w:eastAsia="Calibri" w:hAnsi="Calibri" w:cs="Times New Roman"/>
          <w:sz w:val="22"/>
          <w:szCs w:val="22"/>
        </w:rPr>
        <w:t xml:space="preserve"> 76 (1969).</w:t>
      </w:r>
    </w:p>
    <w:p w14:paraId="00C70910" w14:textId="77777777" w:rsidR="00F82DE9" w:rsidRPr="00F82DE9" w:rsidRDefault="00F82DE9" w:rsidP="00F82DE9">
      <w:pPr>
        <w:numPr>
          <w:ilvl w:val="0"/>
          <w:numId w:val="2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The tax rate takes a percentage of the “clear value” of the property which is defined as fair market value minus expenses of administration and debts. (Section 7-204 of the Tax-General Article)</w:t>
      </w:r>
    </w:p>
    <w:p w14:paraId="6EB36255" w14:textId="77777777" w:rsidR="00F82DE9" w:rsidRPr="00F82DE9" w:rsidRDefault="00F82DE9" w:rsidP="00F82DE9">
      <w:pPr>
        <w:ind w:left="1080"/>
        <w:rPr>
          <w:rFonts w:ascii="Calibri" w:eastAsia="Calibri" w:hAnsi="Calibri" w:cs="Times New Roman"/>
          <w:sz w:val="22"/>
          <w:szCs w:val="22"/>
        </w:rPr>
      </w:pPr>
    </w:p>
    <w:p w14:paraId="72D04792" w14:textId="77777777" w:rsidR="00F82DE9" w:rsidRPr="00F82DE9" w:rsidRDefault="00F82DE9" w:rsidP="00F82DE9">
      <w:pPr>
        <w:numPr>
          <w:ilvl w:val="0"/>
          <w:numId w:val="1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Foreign Estate</w:t>
      </w:r>
    </w:p>
    <w:p w14:paraId="3B56989C" w14:textId="77777777" w:rsidR="00F82DE9" w:rsidRPr="00F82DE9" w:rsidRDefault="00F82DE9" w:rsidP="00F82DE9">
      <w:pPr>
        <w:numPr>
          <w:ilvl w:val="0"/>
          <w:numId w:val="2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See outline topic at II. D. “Maryland Inheritance Tax and Maryland Property Subject to a Foreign Estate”</w:t>
      </w:r>
    </w:p>
    <w:p w14:paraId="362ED5CC" w14:textId="77777777" w:rsidR="009730F1" w:rsidRPr="00F82DE9" w:rsidRDefault="009730F1" w:rsidP="00F82DE9">
      <w:pPr>
        <w:ind w:left="720"/>
        <w:rPr>
          <w:rFonts w:ascii="Calibri" w:eastAsia="Calibri" w:hAnsi="Calibri" w:cs="Times New Roman"/>
          <w:sz w:val="22"/>
          <w:szCs w:val="22"/>
        </w:rPr>
      </w:pPr>
    </w:p>
    <w:p w14:paraId="46401012"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Maryland Estate Tax</w:t>
      </w:r>
    </w:p>
    <w:p w14:paraId="22B55D94" w14:textId="77777777" w:rsidR="00F82DE9" w:rsidRPr="00F82DE9" w:rsidRDefault="00F82DE9" w:rsidP="00F82DE9">
      <w:pPr>
        <w:ind w:left="360"/>
        <w:rPr>
          <w:rFonts w:ascii="Calibri" w:eastAsia="Calibri" w:hAnsi="Calibri" w:cs="Times New Roman"/>
          <w:b/>
          <w:sz w:val="22"/>
          <w:szCs w:val="22"/>
        </w:rPr>
      </w:pPr>
    </w:p>
    <w:p w14:paraId="22D3C4D8" w14:textId="77777777" w:rsidR="00F82DE9" w:rsidRPr="00F82DE9" w:rsidRDefault="00F82DE9" w:rsidP="00F82DE9">
      <w:pPr>
        <w:numPr>
          <w:ilvl w:val="0"/>
          <w:numId w:val="2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Why?</w:t>
      </w:r>
    </w:p>
    <w:p w14:paraId="31335049" w14:textId="77777777" w:rsidR="00F82DE9" w:rsidRPr="00F82DE9" w:rsidRDefault="00F82DE9" w:rsidP="00F82DE9">
      <w:pPr>
        <w:numPr>
          <w:ilvl w:val="0"/>
          <w:numId w:val="3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Maryland Estate Tax is imposed on the transfer of a Maryland estate of a decedent who at the time of death was a</w:t>
      </w:r>
    </w:p>
    <w:p w14:paraId="189BD4BE" w14:textId="77777777" w:rsidR="00F82DE9" w:rsidRPr="00F82DE9" w:rsidRDefault="00F82DE9" w:rsidP="00F82DE9">
      <w:pPr>
        <w:numPr>
          <w:ilvl w:val="0"/>
          <w:numId w:val="3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Resident of Maryland; or</w:t>
      </w:r>
    </w:p>
    <w:p w14:paraId="2D3D36CB" w14:textId="77777777" w:rsidR="00F82DE9" w:rsidRPr="00F82DE9" w:rsidRDefault="00F82DE9" w:rsidP="00F82DE9">
      <w:pPr>
        <w:numPr>
          <w:ilvl w:val="0"/>
          <w:numId w:val="3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nonresident of Maryland whose estate includes, for purposes of the Federal Estate Tax, any interest in real or tangible personal property located in Maryland. (Section 7-302 of the Tax-General Article)</w:t>
      </w:r>
    </w:p>
    <w:p w14:paraId="206BE550" w14:textId="77777777" w:rsidR="00F82DE9" w:rsidRPr="00F82DE9" w:rsidRDefault="00F82DE9" w:rsidP="00F82DE9">
      <w:pPr>
        <w:ind w:left="1440"/>
        <w:rPr>
          <w:rFonts w:ascii="Calibri" w:eastAsia="Calibri" w:hAnsi="Calibri" w:cs="Times New Roman"/>
          <w:sz w:val="22"/>
          <w:szCs w:val="22"/>
        </w:rPr>
      </w:pPr>
    </w:p>
    <w:p w14:paraId="6648E030" w14:textId="77777777" w:rsidR="00F82DE9" w:rsidRPr="00F82DE9" w:rsidRDefault="00F82DE9" w:rsidP="00F82DE9">
      <w:pPr>
        <w:numPr>
          <w:ilvl w:val="0"/>
          <w:numId w:val="2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Lien of Estate Tax/Notice of Lien/Bona Fide Purchaser</w:t>
      </w:r>
    </w:p>
    <w:p w14:paraId="14CD7F23" w14:textId="77777777" w:rsidR="00F82DE9" w:rsidRPr="00F82DE9" w:rsidRDefault="00F82DE9" w:rsidP="00F82DE9">
      <w:pPr>
        <w:numPr>
          <w:ilvl w:val="0"/>
          <w:numId w:val="3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Unpaid Maryland Estate Tax becomes a lien on the estate and the fiduciary/person responsible for paying the tax </w:t>
      </w:r>
      <w:r w:rsidRPr="00F82DE9">
        <w:rPr>
          <w:rFonts w:ascii="Calibri" w:eastAsia="Calibri" w:hAnsi="Calibri" w:cs="Times New Roman"/>
          <w:sz w:val="22"/>
          <w:szCs w:val="22"/>
          <w:u w:val="single"/>
        </w:rPr>
        <w:t>once a Notice of Lien is filed</w:t>
      </w:r>
      <w:r w:rsidRPr="00F82DE9">
        <w:rPr>
          <w:rFonts w:ascii="Calibri" w:eastAsia="Calibri" w:hAnsi="Calibri" w:cs="Times New Roman"/>
          <w:sz w:val="22"/>
          <w:szCs w:val="22"/>
        </w:rPr>
        <w:t>. (Section 13-805 of the Tax-General Article). If no Notice of Lien for Maryland Estate Tax is filed/recorded, then Maryland Estate Tax does not have to be paid at settlement where you have a conveyance to a bona fide purchaser.</w:t>
      </w:r>
    </w:p>
    <w:p w14:paraId="2A931232" w14:textId="0C628D99" w:rsidR="00F82DE9" w:rsidRPr="00F82DE9" w:rsidRDefault="00253EE2" w:rsidP="00F82DE9">
      <w:pPr>
        <w:numPr>
          <w:ilvl w:val="0"/>
          <w:numId w:val="32"/>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If a Notice of Lien is filed</w:t>
      </w:r>
      <w:r w:rsidR="005C328C">
        <w:rPr>
          <w:rFonts w:ascii="Calibri" w:eastAsia="Calibri" w:hAnsi="Calibri" w:cs="Times New Roman"/>
          <w:sz w:val="22"/>
          <w:szCs w:val="22"/>
        </w:rPr>
        <w:t>,</w:t>
      </w:r>
      <w:r>
        <w:rPr>
          <w:rFonts w:ascii="Calibri" w:eastAsia="Calibri" w:hAnsi="Calibri" w:cs="Times New Roman"/>
          <w:sz w:val="22"/>
          <w:szCs w:val="22"/>
        </w:rPr>
        <w:t xml:space="preserve"> the Maryland Estate Tax lien is enforceable for 20 years from the date of assessment.</w:t>
      </w:r>
      <w:r w:rsidR="00F82DE9" w:rsidRPr="00F82DE9">
        <w:rPr>
          <w:rFonts w:ascii="Calibri" w:eastAsia="Calibri" w:hAnsi="Calibri" w:cs="Times New Roman"/>
          <w:sz w:val="22"/>
          <w:szCs w:val="22"/>
        </w:rPr>
        <w:t xml:space="preserve"> (Section 13-806, 13-807 and 13-808 of the Tax-General Article).</w:t>
      </w:r>
    </w:p>
    <w:p w14:paraId="672DCFA5" w14:textId="77777777" w:rsidR="00F82DE9" w:rsidRPr="00F82DE9" w:rsidRDefault="00F82DE9" w:rsidP="00F82DE9">
      <w:pPr>
        <w:numPr>
          <w:ilvl w:val="0"/>
          <w:numId w:val="3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Under Section 13-809 of the Tax-General Article, a Maryland Estate Tax Lien is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valid against any purchaser, holder of a security interest, mechanic’s lienor, or judgment creditor until a “</w:t>
      </w:r>
      <w:r w:rsidRPr="00F82DE9">
        <w:rPr>
          <w:rFonts w:ascii="Calibri" w:eastAsia="Calibri" w:hAnsi="Calibri" w:cs="Times New Roman"/>
          <w:sz w:val="22"/>
          <w:szCs w:val="22"/>
          <w:u w:val="single"/>
        </w:rPr>
        <w:t>Notice of Lien</w:t>
      </w:r>
      <w:r w:rsidRPr="00F82DE9">
        <w:rPr>
          <w:rFonts w:ascii="Calibri" w:eastAsia="Calibri" w:hAnsi="Calibri" w:cs="Times New Roman"/>
          <w:sz w:val="22"/>
          <w:szCs w:val="22"/>
        </w:rPr>
        <w:t xml:space="preserve">” has been </w:t>
      </w:r>
      <w:r w:rsidRPr="00F82DE9">
        <w:rPr>
          <w:rFonts w:ascii="Calibri" w:eastAsia="Calibri" w:hAnsi="Calibri" w:cs="Times New Roman"/>
          <w:sz w:val="22"/>
          <w:szCs w:val="22"/>
          <w:u w:val="single"/>
        </w:rPr>
        <w:t>filed</w:t>
      </w:r>
      <w:r w:rsidRPr="00F82DE9">
        <w:rPr>
          <w:rFonts w:ascii="Calibri" w:eastAsia="Calibri" w:hAnsi="Calibri" w:cs="Times New Roman"/>
          <w:sz w:val="22"/>
          <w:szCs w:val="22"/>
        </w:rPr>
        <w:t xml:space="preserve"> in the Circuit Court for the county where the property that is subject to the lien is located.</w:t>
      </w:r>
    </w:p>
    <w:p w14:paraId="6383D1B8" w14:textId="77777777" w:rsidR="00F82DE9" w:rsidRPr="00F82DE9" w:rsidRDefault="00F82DE9" w:rsidP="00F82DE9">
      <w:pPr>
        <w:ind w:left="1080"/>
        <w:rPr>
          <w:rFonts w:ascii="Calibri" w:eastAsia="Calibri" w:hAnsi="Calibri" w:cs="Times New Roman"/>
          <w:sz w:val="22"/>
          <w:szCs w:val="22"/>
        </w:rPr>
      </w:pPr>
    </w:p>
    <w:p w14:paraId="53116572" w14:textId="77777777" w:rsidR="00F82DE9" w:rsidRPr="00F82DE9" w:rsidRDefault="00F82DE9" w:rsidP="00F82DE9">
      <w:pPr>
        <w:numPr>
          <w:ilvl w:val="0"/>
          <w:numId w:val="2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Underwriting Guidelines</w:t>
      </w:r>
    </w:p>
    <w:p w14:paraId="5D6DABF1" w14:textId="77777777" w:rsidR="00F82DE9" w:rsidRPr="00F82DE9" w:rsidRDefault="00F82DE9" w:rsidP="00F82DE9">
      <w:pPr>
        <w:numPr>
          <w:ilvl w:val="0"/>
          <w:numId w:val="3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Generally, Maryland Estate Tax is not a lien if the estate is selling to a bona fide purchaser for value and no Notice of Lien has been filed in the Circuit Court. ORNTIC would require the personal representative to sign a “Personal Representative’s Title Affidavit.”</w:t>
      </w:r>
    </w:p>
    <w:p w14:paraId="536A1B1C" w14:textId="77777777" w:rsidR="00F82DE9" w:rsidRPr="00F82DE9" w:rsidRDefault="00F82DE9" w:rsidP="00F82DE9">
      <w:pPr>
        <w:ind w:left="720"/>
        <w:rPr>
          <w:rFonts w:ascii="Calibri" w:eastAsia="Calibri" w:hAnsi="Calibri" w:cs="Times New Roman"/>
          <w:sz w:val="22"/>
          <w:szCs w:val="22"/>
        </w:rPr>
      </w:pPr>
    </w:p>
    <w:p w14:paraId="289EE3DB"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Federal Estate Taxes</w:t>
      </w:r>
    </w:p>
    <w:p w14:paraId="72980480" w14:textId="77777777" w:rsidR="00F82DE9" w:rsidRPr="00F82DE9" w:rsidRDefault="00F82DE9" w:rsidP="00F82DE9">
      <w:pPr>
        <w:ind w:left="360"/>
        <w:rPr>
          <w:rFonts w:ascii="Calibri" w:eastAsia="Calibri" w:hAnsi="Calibri" w:cs="Times New Roman"/>
          <w:b/>
          <w:sz w:val="22"/>
          <w:szCs w:val="22"/>
        </w:rPr>
      </w:pPr>
    </w:p>
    <w:p w14:paraId="4CF18854"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Federal Estate Tax Lien arises </w:t>
      </w:r>
      <w:r w:rsidRPr="00F82DE9">
        <w:rPr>
          <w:rFonts w:ascii="Calibri" w:eastAsia="Calibri" w:hAnsi="Calibri" w:cs="Times New Roman"/>
          <w:sz w:val="22"/>
          <w:szCs w:val="22"/>
          <w:u w:val="single"/>
        </w:rPr>
        <w:t>immediately</w:t>
      </w:r>
      <w:r w:rsidRPr="00F82DE9">
        <w:rPr>
          <w:rFonts w:ascii="Calibri" w:eastAsia="Calibri" w:hAnsi="Calibri" w:cs="Times New Roman"/>
          <w:sz w:val="22"/>
          <w:szCs w:val="22"/>
        </w:rPr>
        <w:t xml:space="preserve"> upon the </w:t>
      </w:r>
      <w:r w:rsidRPr="00F82DE9">
        <w:rPr>
          <w:rFonts w:ascii="Calibri" w:eastAsia="Calibri" w:hAnsi="Calibri" w:cs="Times New Roman"/>
          <w:sz w:val="22"/>
          <w:szCs w:val="22"/>
          <w:u w:val="single"/>
        </w:rPr>
        <w:t>death</w:t>
      </w:r>
      <w:r w:rsidRPr="00F82DE9">
        <w:rPr>
          <w:rFonts w:ascii="Calibri" w:eastAsia="Calibri" w:hAnsi="Calibri" w:cs="Times New Roman"/>
          <w:sz w:val="22"/>
          <w:szCs w:val="22"/>
        </w:rPr>
        <w:t xml:space="preserve"> of the decedent, where there are sufficient assets to make the Federal Estate Tax applicable. (26 USC 6324).</w:t>
      </w:r>
    </w:p>
    <w:p w14:paraId="6907D2A8" w14:textId="77777777" w:rsidR="00F82DE9" w:rsidRPr="00F82DE9" w:rsidRDefault="00F82DE9" w:rsidP="00F82DE9">
      <w:pPr>
        <w:numPr>
          <w:ilvl w:val="0"/>
          <w:numId w:val="3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Automatic lien arises at date of death if total value of all decedent’s assets exceeds the “unified credit” for the year of death. If the value of all the decedent’s assets does not exceed the “unified credit” there will be no automatic Federal Estate Tax Lien.</w:t>
      </w:r>
    </w:p>
    <w:p w14:paraId="6C29768F" w14:textId="270FB2B0" w:rsidR="00F82DE9" w:rsidRDefault="00F82DE9" w:rsidP="00F82DE9">
      <w:pPr>
        <w:numPr>
          <w:ilvl w:val="0"/>
          <w:numId w:val="3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“Unified Credit” (Probate property is exempt from any automatic Federal Estate Tax Lien if total value of all of decedent’s assets do not exceed the “unified credit” amount for year of a person’s death).</w:t>
      </w:r>
    </w:p>
    <w:p w14:paraId="2046E0A2" w14:textId="5A246065" w:rsidR="00E1199F" w:rsidRDefault="00E1199F">
      <w:pPr>
        <w:rPr>
          <w:rFonts w:ascii="Calibri" w:eastAsia="Calibri" w:hAnsi="Calibri" w:cs="Times New Roman"/>
          <w:sz w:val="22"/>
          <w:szCs w:val="22"/>
        </w:rPr>
      </w:pPr>
      <w:r>
        <w:rPr>
          <w:rFonts w:ascii="Calibri" w:eastAsia="Calibri" w:hAnsi="Calibri" w:cs="Times New Roman"/>
          <w:sz w:val="22"/>
          <w:szCs w:val="22"/>
        </w:rPr>
        <w:br w:type="page"/>
      </w:r>
    </w:p>
    <w:p w14:paraId="4092EFB6" w14:textId="77777777" w:rsidR="00E1199F" w:rsidRPr="00F82DE9" w:rsidRDefault="00E1199F" w:rsidP="00E1199F">
      <w:pPr>
        <w:spacing w:after="160" w:line="259" w:lineRule="auto"/>
        <w:ind w:left="1440"/>
        <w:contextualSpacing/>
        <w:rPr>
          <w:rFonts w:ascii="Calibri" w:eastAsia="Calibri" w:hAnsi="Calibri" w:cs="Times New Roman"/>
          <w:sz w:val="22"/>
          <w:szCs w:val="22"/>
        </w:rPr>
      </w:pPr>
    </w:p>
    <w:p w14:paraId="0DB62BA3" w14:textId="77777777" w:rsidR="00F82DE9" w:rsidRPr="00F82DE9" w:rsidRDefault="00F82DE9" w:rsidP="00F82DE9">
      <w:pPr>
        <w:ind w:left="1440"/>
        <w:rPr>
          <w:rFonts w:ascii="Calibri" w:eastAsia="Calibri" w:hAnsi="Calibri" w:cs="Times New Roman"/>
          <w:sz w:val="22"/>
          <w:szCs w:val="22"/>
        </w:rPr>
      </w:pPr>
    </w:p>
    <w:tbl>
      <w:tblPr>
        <w:tblStyle w:val="ListTable41"/>
        <w:tblW w:w="0" w:type="auto"/>
        <w:tblInd w:w="1795" w:type="dxa"/>
        <w:tblLook w:val="04A0" w:firstRow="1" w:lastRow="0" w:firstColumn="1" w:lastColumn="0" w:noHBand="0" w:noVBand="1"/>
      </w:tblPr>
      <w:tblGrid>
        <w:gridCol w:w="1005"/>
        <w:gridCol w:w="2955"/>
        <w:gridCol w:w="3595"/>
      </w:tblGrid>
      <w:tr w:rsidR="00CF3548" w:rsidRPr="00F82DE9" w14:paraId="31CB5D99" w14:textId="77777777" w:rsidTr="00F82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B4BE0B" w14:textId="77777777" w:rsidR="00CF3548" w:rsidRPr="00F82DE9" w:rsidRDefault="00CF3548" w:rsidP="00F82DE9">
            <w:pPr>
              <w:jc w:val="center"/>
              <w:rPr>
                <w:rFonts w:ascii="Calibri" w:hAnsi="Calibri" w:cs="Times New Roman"/>
                <w:sz w:val="20"/>
                <w:szCs w:val="20"/>
              </w:rPr>
            </w:pPr>
            <w:bookmarkStart w:id="0" w:name="_Hlk6404612"/>
            <w:r w:rsidRPr="00F82DE9">
              <w:rPr>
                <w:rFonts w:ascii="Calibri" w:hAnsi="Calibri" w:cs="Times New Roman"/>
                <w:sz w:val="20"/>
                <w:szCs w:val="20"/>
              </w:rPr>
              <w:t>Date of Death</w:t>
            </w:r>
          </w:p>
        </w:tc>
        <w:tc>
          <w:tcPr>
            <w:tcW w:w="2955" w:type="dxa"/>
          </w:tcPr>
          <w:p w14:paraId="50EB7DD1" w14:textId="77777777" w:rsidR="00CF3548" w:rsidRPr="00F82DE9" w:rsidRDefault="00CF3548" w:rsidP="00F82DE9">
            <w:pPr>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Unified Credit</w:t>
            </w:r>
          </w:p>
        </w:tc>
        <w:tc>
          <w:tcPr>
            <w:tcW w:w="3595" w:type="dxa"/>
            <w:vMerge w:val="restart"/>
            <w:shd w:val="clear" w:color="auto" w:fill="auto"/>
            <w:vAlign w:val="center"/>
          </w:tcPr>
          <w:p w14:paraId="7546A240" w14:textId="41E94D1F" w:rsidR="00CF3548" w:rsidRPr="00F82DE9" w:rsidRDefault="00CF3548" w:rsidP="00F82DE9">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F9251B">
              <w:rPr>
                <w:rFonts w:ascii="Calibri" w:hAnsi="Calibri" w:cs="Times New Roman"/>
                <w:color w:val="000000" w:themeColor="text1"/>
              </w:rPr>
              <w:t xml:space="preserve">For example, no Federal Estate Tax would be </w:t>
            </w:r>
            <w:proofErr w:type="gramStart"/>
            <w:r w:rsidRPr="00F9251B">
              <w:rPr>
                <w:rFonts w:ascii="Calibri" w:hAnsi="Calibri" w:cs="Times New Roman"/>
                <w:color w:val="000000" w:themeColor="text1"/>
              </w:rPr>
              <w:t>assessed</w:t>
            </w:r>
            <w:proofErr w:type="gramEnd"/>
            <w:r w:rsidRPr="00F9251B">
              <w:rPr>
                <w:rFonts w:ascii="Calibri" w:hAnsi="Calibri" w:cs="Times New Roman"/>
                <w:color w:val="000000" w:themeColor="text1"/>
              </w:rPr>
              <w:t xml:space="preserve"> nor would a Federal Estate Tax Lien arise where a decedent dies in the calendar year 20</w:t>
            </w:r>
            <w:r>
              <w:rPr>
                <w:rFonts w:ascii="Calibri" w:hAnsi="Calibri" w:cs="Times New Roman"/>
                <w:color w:val="000000" w:themeColor="text1"/>
              </w:rPr>
              <w:t>21</w:t>
            </w:r>
            <w:r w:rsidRPr="00F9251B">
              <w:rPr>
                <w:rFonts w:ascii="Calibri" w:hAnsi="Calibri" w:cs="Times New Roman"/>
                <w:color w:val="000000" w:themeColor="text1"/>
              </w:rPr>
              <w:t xml:space="preserve"> and his or gross estate value does not exceed $11,</w:t>
            </w:r>
            <w:r>
              <w:rPr>
                <w:rFonts w:ascii="Calibri" w:hAnsi="Calibri" w:cs="Times New Roman"/>
                <w:color w:val="000000" w:themeColor="text1"/>
              </w:rPr>
              <w:t>7</w:t>
            </w:r>
            <w:r w:rsidRPr="00F9251B">
              <w:rPr>
                <w:rFonts w:ascii="Calibri" w:hAnsi="Calibri" w:cs="Times New Roman"/>
                <w:color w:val="000000" w:themeColor="text1"/>
              </w:rPr>
              <w:t>00,000.00.</w:t>
            </w:r>
          </w:p>
        </w:tc>
      </w:tr>
      <w:tr w:rsidR="00CF3548" w:rsidRPr="00F82DE9" w14:paraId="14AB4A07"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D2833B"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2004</w:t>
            </w:r>
          </w:p>
        </w:tc>
        <w:tc>
          <w:tcPr>
            <w:tcW w:w="2955" w:type="dxa"/>
          </w:tcPr>
          <w:p w14:paraId="640167AA"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$1,500,000.00</w:t>
            </w:r>
          </w:p>
        </w:tc>
        <w:tc>
          <w:tcPr>
            <w:tcW w:w="3595" w:type="dxa"/>
            <w:vMerge/>
            <w:shd w:val="clear" w:color="auto" w:fill="auto"/>
          </w:tcPr>
          <w:p w14:paraId="24F2E0EA"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420077CD"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0A4399EE"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2005</w:t>
            </w:r>
          </w:p>
        </w:tc>
        <w:tc>
          <w:tcPr>
            <w:tcW w:w="2955" w:type="dxa"/>
          </w:tcPr>
          <w:p w14:paraId="5E74F974"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$1,500,000.00</w:t>
            </w:r>
          </w:p>
        </w:tc>
        <w:tc>
          <w:tcPr>
            <w:tcW w:w="3595" w:type="dxa"/>
            <w:vMerge/>
            <w:shd w:val="clear" w:color="auto" w:fill="auto"/>
          </w:tcPr>
          <w:p w14:paraId="4892C79C"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355F0F1F"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00BBEE"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2006</w:t>
            </w:r>
          </w:p>
        </w:tc>
        <w:tc>
          <w:tcPr>
            <w:tcW w:w="2955" w:type="dxa"/>
          </w:tcPr>
          <w:p w14:paraId="623665BC"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$2,000,000.00</w:t>
            </w:r>
          </w:p>
        </w:tc>
        <w:tc>
          <w:tcPr>
            <w:tcW w:w="3595" w:type="dxa"/>
            <w:vMerge/>
            <w:shd w:val="clear" w:color="auto" w:fill="auto"/>
          </w:tcPr>
          <w:p w14:paraId="5BE9DA0D"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3E27FECF"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1AD3EF68"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2007</w:t>
            </w:r>
          </w:p>
        </w:tc>
        <w:tc>
          <w:tcPr>
            <w:tcW w:w="2955" w:type="dxa"/>
          </w:tcPr>
          <w:p w14:paraId="4F9425C6"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$2,000,000.00</w:t>
            </w:r>
          </w:p>
        </w:tc>
        <w:tc>
          <w:tcPr>
            <w:tcW w:w="3595" w:type="dxa"/>
            <w:vMerge/>
            <w:shd w:val="clear" w:color="auto" w:fill="auto"/>
          </w:tcPr>
          <w:p w14:paraId="0179F13A"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05EA0795"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6722A5"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2008</w:t>
            </w:r>
          </w:p>
        </w:tc>
        <w:tc>
          <w:tcPr>
            <w:tcW w:w="2955" w:type="dxa"/>
          </w:tcPr>
          <w:p w14:paraId="52A8D1E8"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$2,000,000.00</w:t>
            </w:r>
          </w:p>
        </w:tc>
        <w:tc>
          <w:tcPr>
            <w:tcW w:w="3595" w:type="dxa"/>
            <w:vMerge/>
            <w:shd w:val="clear" w:color="auto" w:fill="auto"/>
          </w:tcPr>
          <w:p w14:paraId="31899370"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0E486731"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7E319513"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2009</w:t>
            </w:r>
          </w:p>
        </w:tc>
        <w:tc>
          <w:tcPr>
            <w:tcW w:w="2955" w:type="dxa"/>
          </w:tcPr>
          <w:p w14:paraId="4F30F1B6"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$3,500,000.00</w:t>
            </w:r>
          </w:p>
        </w:tc>
        <w:tc>
          <w:tcPr>
            <w:tcW w:w="3595" w:type="dxa"/>
            <w:vMerge/>
            <w:shd w:val="clear" w:color="auto" w:fill="auto"/>
          </w:tcPr>
          <w:p w14:paraId="23B5BE0B"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162A9691"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B8950"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2010</w:t>
            </w:r>
          </w:p>
        </w:tc>
        <w:tc>
          <w:tcPr>
            <w:tcW w:w="2955" w:type="dxa"/>
          </w:tcPr>
          <w:p w14:paraId="71BF729D"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roofErr w:type="spellStart"/>
            <w:r w:rsidRPr="00F82DE9">
              <w:rPr>
                <w:rFonts w:ascii="Calibri" w:hAnsi="Calibri" w:cs="Times New Roman"/>
                <w:sz w:val="20"/>
                <w:szCs w:val="20"/>
              </w:rPr>
              <w:t>Opt</w:t>
            </w:r>
            <w:proofErr w:type="spellEnd"/>
            <w:r w:rsidRPr="00F82DE9">
              <w:rPr>
                <w:rFonts w:ascii="Calibri" w:hAnsi="Calibri" w:cs="Times New Roman"/>
                <w:sz w:val="20"/>
                <w:szCs w:val="20"/>
              </w:rPr>
              <w:t xml:space="preserve"> Out (No estate tax assessed)</w:t>
            </w:r>
          </w:p>
        </w:tc>
        <w:tc>
          <w:tcPr>
            <w:tcW w:w="3595" w:type="dxa"/>
            <w:vMerge/>
            <w:shd w:val="clear" w:color="auto" w:fill="auto"/>
          </w:tcPr>
          <w:p w14:paraId="589CE5D9"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263213F1"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7ADEFF41"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2011</w:t>
            </w:r>
          </w:p>
        </w:tc>
        <w:tc>
          <w:tcPr>
            <w:tcW w:w="2955" w:type="dxa"/>
          </w:tcPr>
          <w:p w14:paraId="57F364DC"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$5,000,000.00</w:t>
            </w:r>
          </w:p>
        </w:tc>
        <w:tc>
          <w:tcPr>
            <w:tcW w:w="3595" w:type="dxa"/>
            <w:vMerge/>
            <w:shd w:val="clear" w:color="auto" w:fill="auto"/>
          </w:tcPr>
          <w:p w14:paraId="2F713CB1"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189D17E8"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33BC85"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2012</w:t>
            </w:r>
          </w:p>
        </w:tc>
        <w:tc>
          <w:tcPr>
            <w:tcW w:w="2955" w:type="dxa"/>
          </w:tcPr>
          <w:p w14:paraId="5DD42E74"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$5,120,000.00</w:t>
            </w:r>
          </w:p>
        </w:tc>
        <w:tc>
          <w:tcPr>
            <w:tcW w:w="3595" w:type="dxa"/>
            <w:vMerge/>
            <w:shd w:val="clear" w:color="auto" w:fill="auto"/>
          </w:tcPr>
          <w:p w14:paraId="300706D0"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4024F671"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5DAAD78D"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2013</w:t>
            </w:r>
          </w:p>
        </w:tc>
        <w:tc>
          <w:tcPr>
            <w:tcW w:w="2955" w:type="dxa"/>
          </w:tcPr>
          <w:p w14:paraId="7E1C25DE"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$5,250,000.00</w:t>
            </w:r>
          </w:p>
        </w:tc>
        <w:tc>
          <w:tcPr>
            <w:tcW w:w="3595" w:type="dxa"/>
            <w:vMerge/>
            <w:shd w:val="clear" w:color="auto" w:fill="auto"/>
          </w:tcPr>
          <w:p w14:paraId="18E5BA33"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7D8967C4"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0F2491"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2014</w:t>
            </w:r>
          </w:p>
        </w:tc>
        <w:tc>
          <w:tcPr>
            <w:tcW w:w="2955" w:type="dxa"/>
          </w:tcPr>
          <w:p w14:paraId="10FAAE83"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$5,340,000.00</w:t>
            </w:r>
          </w:p>
        </w:tc>
        <w:tc>
          <w:tcPr>
            <w:tcW w:w="3595" w:type="dxa"/>
            <w:vMerge/>
            <w:shd w:val="clear" w:color="auto" w:fill="auto"/>
          </w:tcPr>
          <w:p w14:paraId="7C059747"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21DB8397"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1B5EB67A"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2015</w:t>
            </w:r>
          </w:p>
        </w:tc>
        <w:tc>
          <w:tcPr>
            <w:tcW w:w="2955" w:type="dxa"/>
          </w:tcPr>
          <w:p w14:paraId="1B8B2BEE"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$5,430,000.00</w:t>
            </w:r>
          </w:p>
        </w:tc>
        <w:tc>
          <w:tcPr>
            <w:tcW w:w="3595" w:type="dxa"/>
            <w:vMerge/>
            <w:shd w:val="clear" w:color="auto" w:fill="auto"/>
          </w:tcPr>
          <w:p w14:paraId="4521197C"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31FAD26B"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53EDA7"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2016</w:t>
            </w:r>
          </w:p>
        </w:tc>
        <w:tc>
          <w:tcPr>
            <w:tcW w:w="2955" w:type="dxa"/>
          </w:tcPr>
          <w:p w14:paraId="17D1098B"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$5,450,000.00</w:t>
            </w:r>
          </w:p>
        </w:tc>
        <w:tc>
          <w:tcPr>
            <w:tcW w:w="3595" w:type="dxa"/>
            <w:vMerge/>
            <w:shd w:val="clear" w:color="auto" w:fill="auto"/>
          </w:tcPr>
          <w:p w14:paraId="4967E64C"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2E43A9A5"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7E67206B"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2017</w:t>
            </w:r>
          </w:p>
        </w:tc>
        <w:tc>
          <w:tcPr>
            <w:tcW w:w="2955" w:type="dxa"/>
          </w:tcPr>
          <w:p w14:paraId="5553A8FF"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$5,490,000.00</w:t>
            </w:r>
          </w:p>
        </w:tc>
        <w:tc>
          <w:tcPr>
            <w:tcW w:w="3595" w:type="dxa"/>
            <w:vMerge/>
            <w:shd w:val="clear" w:color="auto" w:fill="auto"/>
          </w:tcPr>
          <w:p w14:paraId="05872FDB"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0AF4C0C3" w14:textId="77777777" w:rsidTr="00F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CFE48C"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2018</w:t>
            </w:r>
          </w:p>
        </w:tc>
        <w:tc>
          <w:tcPr>
            <w:tcW w:w="2955" w:type="dxa"/>
          </w:tcPr>
          <w:p w14:paraId="667FC53E"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$11,180,000.00</w:t>
            </w:r>
          </w:p>
        </w:tc>
        <w:tc>
          <w:tcPr>
            <w:tcW w:w="3595" w:type="dxa"/>
            <w:vMerge/>
            <w:shd w:val="clear" w:color="auto" w:fill="auto"/>
          </w:tcPr>
          <w:p w14:paraId="4EBEDB6D"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5E3CEC93"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6A93BC59" w14:textId="77777777" w:rsidR="00CF3548" w:rsidRPr="00F82DE9" w:rsidRDefault="00CF3548" w:rsidP="00F82DE9">
            <w:pPr>
              <w:rPr>
                <w:rFonts w:ascii="Calibri" w:hAnsi="Calibri" w:cs="Times New Roman"/>
                <w:sz w:val="20"/>
                <w:szCs w:val="20"/>
              </w:rPr>
            </w:pPr>
            <w:r w:rsidRPr="00F82DE9">
              <w:rPr>
                <w:rFonts w:ascii="Calibri" w:hAnsi="Calibri" w:cs="Times New Roman"/>
                <w:sz w:val="20"/>
                <w:szCs w:val="20"/>
              </w:rPr>
              <w:t>2019</w:t>
            </w:r>
          </w:p>
        </w:tc>
        <w:tc>
          <w:tcPr>
            <w:tcW w:w="2955" w:type="dxa"/>
          </w:tcPr>
          <w:p w14:paraId="40AD956C"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F82DE9">
              <w:rPr>
                <w:rFonts w:ascii="Calibri" w:hAnsi="Calibri" w:cs="Times New Roman"/>
                <w:sz w:val="20"/>
                <w:szCs w:val="20"/>
              </w:rPr>
              <w:t>$11,400,000.00</w:t>
            </w:r>
          </w:p>
        </w:tc>
        <w:tc>
          <w:tcPr>
            <w:tcW w:w="3595" w:type="dxa"/>
            <w:vMerge/>
            <w:shd w:val="clear" w:color="auto" w:fill="auto"/>
          </w:tcPr>
          <w:p w14:paraId="5E4A2A12"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tr w:rsidR="00CF3548" w:rsidRPr="00F82DE9" w14:paraId="28780620" w14:textId="77777777" w:rsidTr="006B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5220E2" w14:textId="33BDDDCB" w:rsidR="00CF3548" w:rsidRPr="00F82DE9" w:rsidRDefault="00CF3548" w:rsidP="00F82DE9">
            <w:pPr>
              <w:rPr>
                <w:rFonts w:ascii="Calibri" w:hAnsi="Calibri" w:cs="Times New Roman"/>
                <w:sz w:val="20"/>
                <w:szCs w:val="20"/>
              </w:rPr>
            </w:pPr>
            <w:r>
              <w:rPr>
                <w:rFonts w:ascii="Calibri" w:hAnsi="Calibri" w:cs="Times New Roman"/>
                <w:sz w:val="20"/>
                <w:szCs w:val="20"/>
              </w:rPr>
              <w:t>2020</w:t>
            </w:r>
          </w:p>
        </w:tc>
        <w:tc>
          <w:tcPr>
            <w:tcW w:w="2955" w:type="dxa"/>
          </w:tcPr>
          <w:p w14:paraId="34C44FB3" w14:textId="1E46DDB9"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Pr>
                <w:rFonts w:ascii="Calibri" w:hAnsi="Calibri" w:cs="Times New Roman"/>
                <w:sz w:val="20"/>
                <w:szCs w:val="20"/>
              </w:rPr>
              <w:t>$11,580,000.00</w:t>
            </w:r>
          </w:p>
        </w:tc>
        <w:tc>
          <w:tcPr>
            <w:tcW w:w="3595" w:type="dxa"/>
            <w:vMerge/>
            <w:shd w:val="clear" w:color="auto" w:fill="auto"/>
          </w:tcPr>
          <w:p w14:paraId="6A325872" w14:textId="77777777" w:rsidR="00CF3548" w:rsidRPr="00F82DE9" w:rsidRDefault="00CF3548" w:rsidP="00F82DE9">
            <w:pPr>
              <w:tabs>
                <w:tab w:val="decimal" w:pos="900"/>
              </w:tabs>
              <w:cnfStyle w:val="000000100000" w:firstRow="0" w:lastRow="0" w:firstColumn="0" w:lastColumn="0" w:oddVBand="0" w:evenVBand="0" w:oddHBand="1" w:evenHBand="0" w:firstRowFirstColumn="0" w:firstRowLastColumn="0" w:lastRowFirstColumn="0" w:lastRowLastColumn="0"/>
              <w:rPr>
                <w:rFonts w:ascii="Calibri" w:hAnsi="Calibri" w:cs="Times New Roman"/>
                <w:sz w:val="18"/>
                <w:szCs w:val="18"/>
              </w:rPr>
            </w:pPr>
          </w:p>
        </w:tc>
      </w:tr>
      <w:tr w:rsidR="00CF3548" w:rsidRPr="00F82DE9" w14:paraId="6AC1F709" w14:textId="77777777" w:rsidTr="006B0CD8">
        <w:tc>
          <w:tcPr>
            <w:cnfStyle w:val="001000000000" w:firstRow="0" w:lastRow="0" w:firstColumn="1" w:lastColumn="0" w:oddVBand="0" w:evenVBand="0" w:oddHBand="0" w:evenHBand="0" w:firstRowFirstColumn="0" w:firstRowLastColumn="0" w:lastRowFirstColumn="0" w:lastRowLastColumn="0"/>
            <w:tcW w:w="0" w:type="auto"/>
          </w:tcPr>
          <w:p w14:paraId="217CDFC4" w14:textId="3F29C577" w:rsidR="00CF3548" w:rsidRDefault="00CF3548" w:rsidP="00F82DE9">
            <w:pPr>
              <w:rPr>
                <w:rFonts w:ascii="Calibri" w:hAnsi="Calibri" w:cs="Times New Roman"/>
                <w:sz w:val="20"/>
                <w:szCs w:val="20"/>
              </w:rPr>
            </w:pPr>
            <w:r>
              <w:rPr>
                <w:rFonts w:ascii="Calibri" w:hAnsi="Calibri" w:cs="Times New Roman"/>
                <w:sz w:val="20"/>
                <w:szCs w:val="20"/>
              </w:rPr>
              <w:t>2021</w:t>
            </w:r>
          </w:p>
        </w:tc>
        <w:tc>
          <w:tcPr>
            <w:tcW w:w="2955" w:type="dxa"/>
          </w:tcPr>
          <w:p w14:paraId="4EA1154E" w14:textId="1F7D7B4E" w:rsidR="00CF3548"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Pr>
                <w:rFonts w:ascii="Calibri" w:hAnsi="Calibri" w:cs="Times New Roman"/>
                <w:sz w:val="20"/>
                <w:szCs w:val="20"/>
              </w:rPr>
              <w:t>$11,700,000.00</w:t>
            </w:r>
          </w:p>
        </w:tc>
        <w:tc>
          <w:tcPr>
            <w:tcW w:w="3595" w:type="dxa"/>
            <w:vMerge/>
            <w:shd w:val="clear" w:color="auto" w:fill="auto"/>
          </w:tcPr>
          <w:p w14:paraId="14BB2688" w14:textId="77777777" w:rsidR="00CF3548" w:rsidRPr="00F82DE9" w:rsidRDefault="00CF3548" w:rsidP="00F82DE9">
            <w:pPr>
              <w:tabs>
                <w:tab w:val="decimal" w:pos="900"/>
              </w:tabs>
              <w:cnfStyle w:val="000000000000" w:firstRow="0" w:lastRow="0" w:firstColumn="0" w:lastColumn="0" w:oddVBand="0" w:evenVBand="0" w:oddHBand="0" w:evenHBand="0" w:firstRowFirstColumn="0" w:firstRowLastColumn="0" w:lastRowFirstColumn="0" w:lastRowLastColumn="0"/>
              <w:rPr>
                <w:rFonts w:ascii="Calibri" w:hAnsi="Calibri" w:cs="Times New Roman"/>
                <w:sz w:val="18"/>
                <w:szCs w:val="18"/>
              </w:rPr>
            </w:pPr>
          </w:p>
        </w:tc>
      </w:tr>
      <w:bookmarkEnd w:id="0"/>
    </w:tbl>
    <w:p w14:paraId="624C9CCA" w14:textId="77777777" w:rsidR="00F82DE9" w:rsidRPr="00F82DE9" w:rsidRDefault="00F82DE9" w:rsidP="00F82DE9">
      <w:pPr>
        <w:rPr>
          <w:rFonts w:ascii="Calibri" w:eastAsia="Calibri" w:hAnsi="Calibri" w:cs="Times New Roman"/>
          <w:sz w:val="22"/>
          <w:szCs w:val="22"/>
        </w:rPr>
      </w:pPr>
    </w:p>
    <w:p w14:paraId="3027E5F9" w14:textId="77777777" w:rsidR="00F82DE9" w:rsidRPr="00F82DE9" w:rsidRDefault="00F82DE9" w:rsidP="00F82DE9">
      <w:pPr>
        <w:numPr>
          <w:ilvl w:val="0"/>
          <w:numId w:val="3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Federal Estate Taxes are a </w:t>
      </w:r>
      <w:r w:rsidRPr="00F82DE9">
        <w:rPr>
          <w:rFonts w:ascii="Calibri" w:eastAsia="Calibri" w:hAnsi="Calibri" w:cs="Times New Roman"/>
          <w:sz w:val="22"/>
          <w:szCs w:val="22"/>
          <w:u w:val="single"/>
        </w:rPr>
        <w:t>lien</w:t>
      </w:r>
      <w:r w:rsidRPr="00F82DE9">
        <w:rPr>
          <w:rFonts w:ascii="Calibri" w:eastAsia="Calibri" w:hAnsi="Calibri" w:cs="Times New Roman"/>
          <w:sz w:val="22"/>
          <w:szCs w:val="22"/>
        </w:rPr>
        <w:t xml:space="preserve"> for a period of </w:t>
      </w:r>
      <w:r w:rsidRPr="00F82DE9">
        <w:rPr>
          <w:rFonts w:ascii="Calibri" w:eastAsia="Calibri" w:hAnsi="Calibri" w:cs="Times New Roman"/>
          <w:sz w:val="22"/>
          <w:szCs w:val="22"/>
          <w:u w:val="single"/>
        </w:rPr>
        <w:t>10</w:t>
      </w:r>
      <w:r w:rsidRPr="00F82DE9">
        <w:rPr>
          <w:rFonts w:ascii="Calibri" w:eastAsia="Calibri" w:hAnsi="Calibri" w:cs="Times New Roman"/>
          <w:sz w:val="22"/>
          <w:szCs w:val="22"/>
        </w:rPr>
        <w:t xml:space="preserve"> years from the date of </w:t>
      </w:r>
      <w:r w:rsidRPr="00F82DE9">
        <w:rPr>
          <w:rFonts w:ascii="Calibri" w:eastAsia="Calibri" w:hAnsi="Calibri" w:cs="Times New Roman"/>
          <w:sz w:val="22"/>
          <w:szCs w:val="22"/>
          <w:u w:val="single"/>
        </w:rPr>
        <w:t>death</w:t>
      </w:r>
      <w:r w:rsidRPr="00F82DE9">
        <w:rPr>
          <w:rFonts w:ascii="Calibri" w:eastAsia="Calibri" w:hAnsi="Calibri" w:cs="Times New Roman"/>
          <w:sz w:val="22"/>
          <w:szCs w:val="22"/>
        </w:rPr>
        <w:t>. (26 USC 6324)</w:t>
      </w:r>
    </w:p>
    <w:p w14:paraId="05AE4D37" w14:textId="77777777" w:rsidR="00F82DE9" w:rsidRPr="00F82DE9" w:rsidRDefault="00F82DE9" w:rsidP="00F82DE9">
      <w:pPr>
        <w:numPr>
          <w:ilvl w:val="0"/>
          <w:numId w:val="3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There is </w:t>
      </w:r>
      <w:r w:rsidRPr="00F82DE9">
        <w:rPr>
          <w:rFonts w:ascii="Calibri" w:eastAsia="Calibri" w:hAnsi="Calibri" w:cs="Times New Roman"/>
          <w:sz w:val="22"/>
          <w:szCs w:val="22"/>
          <w:u w:val="single"/>
        </w:rPr>
        <w:t>no</w:t>
      </w:r>
      <w:r w:rsidRPr="00F82DE9">
        <w:rPr>
          <w:rFonts w:ascii="Calibri" w:eastAsia="Calibri" w:hAnsi="Calibri" w:cs="Times New Roman"/>
          <w:sz w:val="22"/>
          <w:szCs w:val="22"/>
        </w:rPr>
        <w:t xml:space="preserve"> filing requirement. Consequently, Federal Estate Tax Liens are often called “</w:t>
      </w:r>
      <w:r w:rsidRPr="00F82DE9">
        <w:rPr>
          <w:rFonts w:ascii="Calibri" w:eastAsia="Calibri" w:hAnsi="Calibri" w:cs="Times New Roman"/>
          <w:sz w:val="22"/>
          <w:szCs w:val="22"/>
          <w:u w:val="single"/>
        </w:rPr>
        <w:t>special</w:t>
      </w:r>
      <w:r w:rsidRPr="00F82DE9">
        <w:rPr>
          <w:rFonts w:ascii="Calibri" w:eastAsia="Calibri" w:hAnsi="Calibri" w:cs="Times New Roman"/>
          <w:sz w:val="22"/>
          <w:szCs w:val="22"/>
        </w:rPr>
        <w:t>” or “</w:t>
      </w:r>
      <w:r w:rsidRPr="00F82DE9">
        <w:rPr>
          <w:rFonts w:ascii="Calibri" w:eastAsia="Calibri" w:hAnsi="Calibri" w:cs="Times New Roman"/>
          <w:sz w:val="22"/>
          <w:szCs w:val="22"/>
          <w:u w:val="single"/>
        </w:rPr>
        <w:t>secret</w:t>
      </w:r>
      <w:r w:rsidRPr="00F82DE9">
        <w:rPr>
          <w:rFonts w:ascii="Calibri" w:eastAsia="Calibri" w:hAnsi="Calibri" w:cs="Times New Roman"/>
          <w:sz w:val="22"/>
          <w:szCs w:val="22"/>
        </w:rPr>
        <w:t>” liens by reason of the fact that such liens will take priority from the date of death of the decedent, even though the exact lien amount may not be set until sometime in the future and even though no lien or “Notice of Lien” is ever filed among the public records.</w:t>
      </w:r>
    </w:p>
    <w:p w14:paraId="0AD4DC99" w14:textId="77777777" w:rsidR="00F82DE9" w:rsidRPr="00F82DE9" w:rsidRDefault="00F82DE9" w:rsidP="00F82DE9">
      <w:pPr>
        <w:numPr>
          <w:ilvl w:val="0"/>
          <w:numId w:val="3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u w:val="single"/>
        </w:rPr>
        <w:t>The Federal Estate Tax Lien</w:t>
      </w:r>
      <w:r w:rsidRPr="00F82DE9">
        <w:rPr>
          <w:rFonts w:ascii="Calibri" w:eastAsia="Calibri" w:hAnsi="Calibri" w:cs="Times New Roman"/>
          <w:sz w:val="22"/>
          <w:szCs w:val="22"/>
        </w:rPr>
        <w:t xml:space="preserve"> attaches to </w:t>
      </w:r>
      <w:r w:rsidRPr="00F82DE9">
        <w:rPr>
          <w:rFonts w:ascii="Calibri" w:eastAsia="Calibri" w:hAnsi="Calibri" w:cs="Times New Roman"/>
          <w:sz w:val="22"/>
          <w:szCs w:val="22"/>
          <w:u w:val="single"/>
        </w:rPr>
        <w:t>probate</w:t>
      </w:r>
      <w:r w:rsidRPr="00F82DE9">
        <w:rPr>
          <w:rFonts w:ascii="Calibri" w:eastAsia="Calibri" w:hAnsi="Calibri" w:cs="Times New Roman"/>
          <w:sz w:val="22"/>
          <w:szCs w:val="22"/>
        </w:rPr>
        <w:t xml:space="preserve"> property </w:t>
      </w:r>
      <w:r w:rsidRPr="00F82DE9">
        <w:rPr>
          <w:rFonts w:ascii="Calibri" w:eastAsia="Calibri" w:hAnsi="Calibri" w:cs="Times New Roman"/>
          <w:sz w:val="22"/>
          <w:szCs w:val="22"/>
          <w:u w:val="single"/>
        </w:rPr>
        <w:t>even when there is a transfer of the probated asset/property to a bona fide purchaser or lender</w:t>
      </w:r>
      <w:r w:rsidRPr="00F82DE9">
        <w:rPr>
          <w:rFonts w:ascii="Calibri" w:eastAsia="Calibri" w:hAnsi="Calibri" w:cs="Times New Roman"/>
          <w:sz w:val="22"/>
          <w:szCs w:val="22"/>
        </w:rPr>
        <w:t>. (26 USC 6323).</w:t>
      </w:r>
    </w:p>
    <w:p w14:paraId="231F941A" w14:textId="77777777" w:rsidR="00F82DE9" w:rsidRPr="00F82DE9" w:rsidRDefault="00F82DE9" w:rsidP="00F82DE9">
      <w:pPr>
        <w:numPr>
          <w:ilvl w:val="0"/>
          <w:numId w:val="3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Federal Estate Tax Lien does not attach to </w:t>
      </w:r>
      <w:r w:rsidRPr="00F82DE9">
        <w:rPr>
          <w:rFonts w:ascii="Calibri" w:eastAsia="Calibri" w:hAnsi="Calibri" w:cs="Times New Roman"/>
          <w:sz w:val="22"/>
          <w:szCs w:val="22"/>
          <w:u w:val="single"/>
        </w:rPr>
        <w:t>non</w:t>
      </w:r>
      <w:r w:rsidRPr="00F82DE9">
        <w:rPr>
          <w:rFonts w:ascii="Calibri" w:eastAsia="Calibri" w:hAnsi="Calibri" w:cs="Times New Roman"/>
          <w:sz w:val="22"/>
          <w:szCs w:val="22"/>
        </w:rPr>
        <w:t>-probate property (property that does not pass through the decedent’s estate) when there is a transfer to a “purchaser” or “holder of security interest”. (26 USC 6324 and 26 USC 6323).</w:t>
      </w:r>
    </w:p>
    <w:p w14:paraId="0D817DF8" w14:textId="77777777" w:rsidR="00F82DE9" w:rsidRPr="00F82DE9" w:rsidRDefault="00F82DE9" w:rsidP="00F82DE9">
      <w:pPr>
        <w:ind w:left="1080"/>
        <w:rPr>
          <w:rFonts w:ascii="Calibri" w:eastAsia="Calibri" w:hAnsi="Calibri" w:cs="Times New Roman"/>
          <w:sz w:val="22"/>
          <w:szCs w:val="22"/>
        </w:rPr>
      </w:pPr>
    </w:p>
    <w:p w14:paraId="3BCA4260"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Classification of Decedent’s Property</w:t>
      </w:r>
    </w:p>
    <w:p w14:paraId="596127F4" w14:textId="77777777" w:rsidR="00F82DE9" w:rsidRPr="00F82DE9" w:rsidRDefault="00F82DE9" w:rsidP="00F82DE9">
      <w:pPr>
        <w:ind w:left="1440"/>
        <w:rPr>
          <w:rFonts w:ascii="Calibri" w:eastAsia="Calibri" w:hAnsi="Calibri" w:cs="Times New Roman"/>
          <w:sz w:val="22"/>
          <w:szCs w:val="22"/>
        </w:rPr>
      </w:pPr>
      <w:r w:rsidRPr="00F82DE9">
        <w:rPr>
          <w:rFonts w:ascii="Calibri" w:eastAsia="Calibri" w:hAnsi="Calibri" w:cs="Times New Roman"/>
          <w:sz w:val="22"/>
          <w:szCs w:val="22"/>
        </w:rPr>
        <w:t xml:space="preserve">For title insurance purposes, it is important to identify all property comprising the estate of a decedent (whether it is “probate property” or “non-probate property”). Both types of properties must be considered for the purpose of determining whether a Federal Estate Tax Lien attaches to probate property. A review of an estate’s filed “inventory” report (which would only recite the value of probated assets), is a good place to start, however, review of only the filed “inventory” to </w:t>
      </w:r>
      <w:proofErr w:type="gramStart"/>
      <w:r w:rsidRPr="00F82DE9">
        <w:rPr>
          <w:rFonts w:ascii="Calibri" w:eastAsia="Calibri" w:hAnsi="Calibri" w:cs="Times New Roman"/>
          <w:sz w:val="22"/>
          <w:szCs w:val="22"/>
        </w:rPr>
        <w:t>make a determination</w:t>
      </w:r>
      <w:proofErr w:type="gramEnd"/>
      <w:r w:rsidRPr="00F82DE9">
        <w:rPr>
          <w:rFonts w:ascii="Calibri" w:eastAsia="Calibri" w:hAnsi="Calibri" w:cs="Times New Roman"/>
          <w:sz w:val="22"/>
          <w:szCs w:val="22"/>
        </w:rPr>
        <w:t xml:space="preserve"> that the total value of the gross estate does not exceed the unified credit, is dangerous. ORNTIC, at a minimum, requires that the title agent review the “inventory” </w:t>
      </w:r>
      <w:r w:rsidRPr="00F82DE9">
        <w:rPr>
          <w:rFonts w:ascii="Calibri" w:eastAsia="Calibri" w:hAnsi="Calibri" w:cs="Times New Roman"/>
          <w:sz w:val="22"/>
          <w:szCs w:val="22"/>
          <w:u w:val="single"/>
        </w:rPr>
        <w:t>and</w:t>
      </w:r>
      <w:r w:rsidRPr="00F82DE9">
        <w:rPr>
          <w:rFonts w:ascii="Calibri" w:eastAsia="Calibri" w:hAnsi="Calibri" w:cs="Times New Roman"/>
          <w:sz w:val="22"/>
          <w:szCs w:val="22"/>
        </w:rPr>
        <w:t xml:space="preserve"> contact the attorney for the estate to request, in writing, that attorney’s determination of the total value of the decedent’s assets (gross estate).  If it becomes clear that the total value of the gross estate will be </w:t>
      </w:r>
      <w:r w:rsidRPr="00F82DE9">
        <w:rPr>
          <w:rFonts w:ascii="Calibri" w:eastAsia="Calibri" w:hAnsi="Calibri" w:cs="Times New Roman"/>
          <w:sz w:val="22"/>
          <w:szCs w:val="22"/>
          <w:u w:val="single"/>
        </w:rPr>
        <w:t>under</w:t>
      </w:r>
      <w:r w:rsidRPr="00F82DE9">
        <w:rPr>
          <w:rFonts w:ascii="Calibri" w:eastAsia="Calibri" w:hAnsi="Calibri" w:cs="Times New Roman"/>
          <w:sz w:val="22"/>
          <w:szCs w:val="22"/>
        </w:rPr>
        <w:t xml:space="preserve"> the amount of the unified credit, then ORNTIC will accept an affidavit and indemnity from the estate as to Federal Estate Taxes and not require the title agent to collect or escrow Federal Estate Taxes at settlement.</w:t>
      </w:r>
    </w:p>
    <w:p w14:paraId="7F4695A0" w14:textId="77777777" w:rsidR="00F82DE9" w:rsidRPr="00F82DE9" w:rsidRDefault="00F82DE9" w:rsidP="00F82DE9">
      <w:pPr>
        <w:numPr>
          <w:ilvl w:val="0"/>
          <w:numId w:val="3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Probate Property</w:t>
      </w:r>
    </w:p>
    <w:p w14:paraId="51E72119" w14:textId="77777777" w:rsidR="00F82DE9" w:rsidRPr="00F82DE9" w:rsidRDefault="00F82DE9" w:rsidP="00F82DE9">
      <w:pPr>
        <w:numPr>
          <w:ilvl w:val="0"/>
          <w:numId w:val="3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This is property in which the decedent’s title is assumed to survive </w:t>
      </w:r>
      <w:proofErr w:type="gramStart"/>
      <w:r w:rsidRPr="00F82DE9">
        <w:rPr>
          <w:rFonts w:ascii="Calibri" w:eastAsia="Calibri" w:hAnsi="Calibri" w:cs="Times New Roman"/>
          <w:sz w:val="22"/>
          <w:szCs w:val="22"/>
        </w:rPr>
        <w:t>death, and</w:t>
      </w:r>
      <w:proofErr w:type="gramEnd"/>
      <w:r w:rsidRPr="00F82DE9">
        <w:rPr>
          <w:rFonts w:ascii="Calibri" w:eastAsia="Calibri" w:hAnsi="Calibri" w:cs="Times New Roman"/>
          <w:sz w:val="22"/>
          <w:szCs w:val="22"/>
        </w:rPr>
        <w:t xml:space="preserve"> pass on to heirs or devisees. The title of a successor to the decedent is not considered marketable or insurable unless administration (an estate is setup and the personal representative signs the deed) has been had of the decedent’s estate.</w:t>
      </w:r>
    </w:p>
    <w:p w14:paraId="2AED8D3B" w14:textId="77777777" w:rsidR="00F82DE9" w:rsidRPr="00F82DE9" w:rsidRDefault="00F82DE9" w:rsidP="00F82DE9">
      <w:pPr>
        <w:numPr>
          <w:ilvl w:val="0"/>
          <w:numId w:val="3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Federal Estate Tax Lien attaches to </w:t>
      </w:r>
      <w:r w:rsidRPr="00F82DE9">
        <w:rPr>
          <w:rFonts w:ascii="Calibri" w:eastAsia="Calibri" w:hAnsi="Calibri" w:cs="Times New Roman"/>
          <w:sz w:val="22"/>
          <w:szCs w:val="22"/>
          <w:u w:val="single"/>
        </w:rPr>
        <w:t>probate</w:t>
      </w:r>
      <w:r w:rsidRPr="00F82DE9">
        <w:rPr>
          <w:rFonts w:ascii="Calibri" w:eastAsia="Calibri" w:hAnsi="Calibri" w:cs="Times New Roman"/>
          <w:sz w:val="22"/>
          <w:szCs w:val="22"/>
        </w:rPr>
        <w:t xml:space="preserve"> property </w:t>
      </w:r>
      <w:r w:rsidRPr="00F82DE9">
        <w:rPr>
          <w:rFonts w:ascii="Calibri" w:eastAsia="Calibri" w:hAnsi="Calibri" w:cs="Times New Roman"/>
          <w:sz w:val="22"/>
          <w:szCs w:val="22"/>
          <w:u w:val="single"/>
        </w:rPr>
        <w:t>even when there is a transfer or probated assets/property to a bona fide purchaser or lender</w:t>
      </w:r>
      <w:r w:rsidRPr="00F82DE9">
        <w:rPr>
          <w:rFonts w:ascii="Calibri" w:eastAsia="Calibri" w:hAnsi="Calibri" w:cs="Times New Roman"/>
          <w:sz w:val="22"/>
          <w:szCs w:val="22"/>
        </w:rPr>
        <w:t>. (26 USC 6323).</w:t>
      </w:r>
    </w:p>
    <w:p w14:paraId="764FDF68" w14:textId="77777777" w:rsidR="00F82DE9" w:rsidRPr="00F82DE9" w:rsidRDefault="00F82DE9" w:rsidP="00F82DE9">
      <w:pPr>
        <w:numPr>
          <w:ilvl w:val="0"/>
          <w:numId w:val="3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Non-probate Property</w:t>
      </w:r>
    </w:p>
    <w:p w14:paraId="713A83DA" w14:textId="77777777" w:rsidR="00F82DE9" w:rsidRPr="00F82DE9" w:rsidRDefault="00F82DE9" w:rsidP="00F82DE9">
      <w:pPr>
        <w:numPr>
          <w:ilvl w:val="0"/>
          <w:numId w:val="3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This is property in which title of the decedent ceases at death and is not succeeded to by heirs or devisees. The “new” title which arises at the death of the former owner is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dependent upon probate or administration of estate proceedings. Within this classification, however, there are characteristics of sufficient testamentary import to warrant the inclusion of this non-probate property in decedent’s </w:t>
      </w:r>
      <w:r w:rsidRPr="00F82DE9">
        <w:rPr>
          <w:rFonts w:ascii="Calibri" w:eastAsia="Calibri" w:hAnsi="Calibri" w:cs="Times New Roman"/>
          <w:sz w:val="22"/>
          <w:szCs w:val="22"/>
          <w:u w:val="single"/>
        </w:rPr>
        <w:t>gross estate for the purpose of determining whether Federal Estate Taxes apply</w:t>
      </w:r>
      <w:r w:rsidRPr="00F82DE9">
        <w:rPr>
          <w:rFonts w:ascii="Calibri" w:eastAsia="Calibri" w:hAnsi="Calibri" w:cs="Times New Roman"/>
          <w:sz w:val="22"/>
          <w:szCs w:val="22"/>
        </w:rPr>
        <w:t xml:space="preserve">. Non-probate properties (which would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be subject to the Federal Estate Tax </w:t>
      </w:r>
      <w:r w:rsidRPr="00F82DE9">
        <w:rPr>
          <w:rFonts w:ascii="Calibri" w:eastAsia="Calibri" w:hAnsi="Calibri" w:cs="Times New Roman"/>
          <w:sz w:val="22"/>
          <w:szCs w:val="22"/>
          <w:u w:val="single"/>
        </w:rPr>
        <w:t>Lien</w:t>
      </w:r>
      <w:r w:rsidRPr="00F82DE9">
        <w:rPr>
          <w:rFonts w:ascii="Calibri" w:eastAsia="Calibri" w:hAnsi="Calibri" w:cs="Times New Roman"/>
          <w:sz w:val="22"/>
          <w:szCs w:val="22"/>
        </w:rPr>
        <w:t xml:space="preserve">), but properties which are used to calculate the total value of the estate to determine if a Federal Estate Tax </w:t>
      </w:r>
      <w:r w:rsidRPr="00F82DE9">
        <w:rPr>
          <w:rFonts w:ascii="Calibri" w:eastAsia="Calibri" w:hAnsi="Calibri" w:cs="Times New Roman"/>
          <w:sz w:val="22"/>
          <w:szCs w:val="22"/>
          <w:u w:val="single"/>
        </w:rPr>
        <w:t>Lien</w:t>
      </w:r>
      <w:r w:rsidRPr="00F82DE9">
        <w:rPr>
          <w:rFonts w:ascii="Calibri" w:eastAsia="Calibri" w:hAnsi="Calibri" w:cs="Times New Roman"/>
          <w:sz w:val="22"/>
          <w:szCs w:val="22"/>
        </w:rPr>
        <w:t xml:space="preserve"> attaches to </w:t>
      </w:r>
      <w:r w:rsidRPr="00F82DE9">
        <w:rPr>
          <w:rFonts w:ascii="Calibri" w:eastAsia="Calibri" w:hAnsi="Calibri" w:cs="Times New Roman"/>
          <w:sz w:val="22"/>
          <w:szCs w:val="22"/>
          <w:u w:val="single"/>
        </w:rPr>
        <w:t>probate property</w:t>
      </w:r>
      <w:r w:rsidRPr="00F82DE9">
        <w:rPr>
          <w:rFonts w:ascii="Calibri" w:eastAsia="Calibri" w:hAnsi="Calibri" w:cs="Times New Roman"/>
          <w:sz w:val="22"/>
          <w:szCs w:val="22"/>
        </w:rPr>
        <w:t>, as set forth in 26 USC 2034, et seq., include some of the following:</w:t>
      </w:r>
    </w:p>
    <w:p w14:paraId="6CE131C3" w14:textId="77777777" w:rsidR="00F82DE9" w:rsidRPr="00F82DE9" w:rsidRDefault="00F82DE9" w:rsidP="00F82DE9">
      <w:pPr>
        <w:numPr>
          <w:ilvl w:val="0"/>
          <w:numId w:val="3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Transfers with retained life estate for less than adequate and full consideration (Section 2036)</w:t>
      </w:r>
    </w:p>
    <w:p w14:paraId="163EF184" w14:textId="77777777" w:rsidR="00F82DE9" w:rsidRPr="00F82DE9" w:rsidRDefault="00F82DE9" w:rsidP="00F82DE9">
      <w:pPr>
        <w:numPr>
          <w:ilvl w:val="0"/>
          <w:numId w:val="3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Transfers taking effect at death if not a bona fide sale (Section 2037)</w:t>
      </w:r>
    </w:p>
    <w:p w14:paraId="07C4092F" w14:textId="77777777" w:rsidR="00F82DE9" w:rsidRPr="00F82DE9" w:rsidRDefault="00F82DE9" w:rsidP="00F82DE9">
      <w:pPr>
        <w:numPr>
          <w:ilvl w:val="0"/>
          <w:numId w:val="3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Revocable transfers (Section 2038)</w:t>
      </w:r>
    </w:p>
    <w:p w14:paraId="06A0F458" w14:textId="77777777" w:rsidR="00F82DE9" w:rsidRPr="00F82DE9" w:rsidRDefault="00F82DE9" w:rsidP="00F82DE9">
      <w:pPr>
        <w:numPr>
          <w:ilvl w:val="0"/>
          <w:numId w:val="3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Certain annuities other than policies of insurance (Section 2039)</w:t>
      </w:r>
    </w:p>
    <w:p w14:paraId="67CA8425" w14:textId="77777777" w:rsidR="00F82DE9" w:rsidRPr="00F82DE9" w:rsidRDefault="00F82DE9" w:rsidP="00F82DE9">
      <w:pPr>
        <w:numPr>
          <w:ilvl w:val="0"/>
          <w:numId w:val="3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Proceeds of life insurance (Section 2042)</w:t>
      </w:r>
    </w:p>
    <w:p w14:paraId="5F3C77C6" w14:textId="77777777" w:rsidR="00F82DE9" w:rsidRPr="00F82DE9" w:rsidRDefault="00F82DE9" w:rsidP="00F82DE9">
      <w:pPr>
        <w:numPr>
          <w:ilvl w:val="0"/>
          <w:numId w:val="3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Survivorship interests such as joint tenancies (Section 2040)</w:t>
      </w:r>
    </w:p>
    <w:p w14:paraId="2DCBDC32" w14:textId="77777777" w:rsidR="00F82DE9" w:rsidRPr="00F82DE9" w:rsidRDefault="00F82DE9" w:rsidP="00F82DE9">
      <w:pPr>
        <w:ind w:left="1800"/>
        <w:rPr>
          <w:rFonts w:ascii="Calibri" w:eastAsia="Calibri" w:hAnsi="Calibri" w:cs="Times New Roman"/>
          <w:sz w:val="22"/>
          <w:szCs w:val="22"/>
        </w:rPr>
      </w:pPr>
    </w:p>
    <w:p w14:paraId="00CB27E9"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Responsibility for Payment of Tax</w:t>
      </w:r>
    </w:p>
    <w:p w14:paraId="0CC6BC89" w14:textId="77777777" w:rsidR="00F82DE9" w:rsidRPr="00F82DE9" w:rsidRDefault="00F82DE9" w:rsidP="00F82DE9">
      <w:pPr>
        <w:numPr>
          <w:ilvl w:val="0"/>
          <w:numId w:val="4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The personal representative of a decedent is responsible for the payment of the Federal Estate Taxes.</w:t>
      </w:r>
    </w:p>
    <w:p w14:paraId="3F3B91A9" w14:textId="77777777" w:rsidR="00F82DE9" w:rsidRPr="00F82DE9" w:rsidRDefault="00F82DE9" w:rsidP="00F82DE9">
      <w:pPr>
        <w:ind w:left="1080"/>
        <w:rPr>
          <w:rFonts w:ascii="Calibri" w:eastAsia="Calibri" w:hAnsi="Calibri" w:cs="Times New Roman"/>
          <w:sz w:val="22"/>
          <w:szCs w:val="22"/>
        </w:rPr>
      </w:pPr>
    </w:p>
    <w:p w14:paraId="6B4FE715"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Payment of the Tax</w:t>
      </w:r>
    </w:p>
    <w:p w14:paraId="7360FB53" w14:textId="77777777" w:rsidR="00F82DE9" w:rsidRPr="00F82DE9" w:rsidRDefault="00F82DE9" w:rsidP="00F82DE9">
      <w:pPr>
        <w:numPr>
          <w:ilvl w:val="0"/>
          <w:numId w:val="4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The tax shown to be payable in the estate tax return is to be paid by the personal representative at the time the return is filed (26 USC 615 1-2002 et seq.)</w:t>
      </w:r>
    </w:p>
    <w:p w14:paraId="6A96922A" w14:textId="77777777" w:rsidR="00F82DE9" w:rsidRPr="00F82DE9" w:rsidRDefault="00F82DE9" w:rsidP="00F82DE9">
      <w:pPr>
        <w:numPr>
          <w:ilvl w:val="0"/>
          <w:numId w:val="4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Ordinarily, evidence of the payment of the tax should be in the form of a receipt found in the probate proceedings. In practice this is seldom done. Clues as to payment of the tax are frequently noted in the recitals of a petition for distribution of the estate or in the decree of distribution itself. In any event, if no receipt for payment of the tax is on file, inquiry must be made of the personal representative or of the estate attorney; and evidence of payment must be obtained.</w:t>
      </w:r>
    </w:p>
    <w:p w14:paraId="2D724E91" w14:textId="77777777" w:rsidR="00F82DE9" w:rsidRPr="00F82DE9" w:rsidRDefault="00F82DE9" w:rsidP="00F82DE9">
      <w:pPr>
        <w:ind w:left="1080"/>
        <w:rPr>
          <w:rFonts w:ascii="Calibri" w:eastAsia="Calibri" w:hAnsi="Calibri" w:cs="Times New Roman"/>
          <w:sz w:val="22"/>
          <w:szCs w:val="22"/>
        </w:rPr>
      </w:pPr>
    </w:p>
    <w:p w14:paraId="153CED71"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Lien of Tax</w:t>
      </w:r>
    </w:p>
    <w:p w14:paraId="5D6DB694" w14:textId="77777777" w:rsidR="00F82DE9" w:rsidRPr="00F82DE9" w:rsidRDefault="00F82DE9" w:rsidP="00F82DE9">
      <w:pPr>
        <w:numPr>
          <w:ilvl w:val="0"/>
          <w:numId w:val="4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If an estate tax is due, a lien to secure its payment attaches </w:t>
      </w:r>
      <w:r w:rsidRPr="00F82DE9">
        <w:rPr>
          <w:rFonts w:ascii="Calibri" w:eastAsia="Calibri" w:hAnsi="Calibri" w:cs="Times New Roman"/>
          <w:sz w:val="22"/>
          <w:szCs w:val="22"/>
          <w:u w:val="single"/>
        </w:rPr>
        <w:t>at date of death to all probate property</w:t>
      </w:r>
      <w:r w:rsidRPr="00F82DE9">
        <w:rPr>
          <w:rFonts w:ascii="Calibri" w:eastAsia="Calibri" w:hAnsi="Calibri" w:cs="Times New Roman"/>
          <w:sz w:val="22"/>
          <w:szCs w:val="22"/>
        </w:rPr>
        <w:t>, included in the estate of the decedent (26 USC 6324).</w:t>
      </w:r>
    </w:p>
    <w:p w14:paraId="55024440" w14:textId="77777777" w:rsidR="00F82DE9" w:rsidRPr="00F82DE9" w:rsidRDefault="00F82DE9" w:rsidP="00F82DE9">
      <w:pPr>
        <w:numPr>
          <w:ilvl w:val="0"/>
          <w:numId w:val="4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lien is valid as a secret lien; there is no necessity of a demand for payment of the tax; it makes no difference if there has been a refusal or neglect to pay the tax; </w:t>
      </w:r>
      <w:proofErr w:type="gramStart"/>
      <w:r w:rsidRPr="00F82DE9">
        <w:rPr>
          <w:rFonts w:ascii="Calibri" w:eastAsia="Calibri" w:hAnsi="Calibri" w:cs="Times New Roman"/>
          <w:sz w:val="22"/>
          <w:szCs w:val="22"/>
        </w:rPr>
        <w:t>and,</w:t>
      </w:r>
      <w:proofErr w:type="gramEnd"/>
      <w:r w:rsidRPr="00F82DE9">
        <w:rPr>
          <w:rFonts w:ascii="Calibri" w:eastAsia="Calibri" w:hAnsi="Calibri" w:cs="Times New Roman"/>
          <w:sz w:val="22"/>
          <w:szCs w:val="22"/>
        </w:rPr>
        <w:t xml:space="preserve"> no recording is necessary in order to perfect the lien. </w:t>
      </w:r>
      <w:r w:rsidRPr="00F82DE9">
        <w:rPr>
          <w:rFonts w:ascii="Calibri" w:eastAsia="Calibri" w:hAnsi="Calibri" w:cs="Times New Roman"/>
          <w:sz w:val="22"/>
          <w:szCs w:val="22"/>
          <w:u w:val="single"/>
        </w:rPr>
        <w:t>Detroit Bank v. U.S.</w:t>
      </w:r>
      <w:r w:rsidRPr="00F82DE9">
        <w:rPr>
          <w:rFonts w:ascii="Calibri" w:eastAsia="Calibri" w:hAnsi="Calibri" w:cs="Times New Roman"/>
          <w:sz w:val="22"/>
          <w:szCs w:val="22"/>
        </w:rPr>
        <w:t xml:space="preserve"> 317 US 329,87 L. ED 304 (1943).</w:t>
      </w:r>
    </w:p>
    <w:p w14:paraId="53012816" w14:textId="77777777" w:rsidR="00F82DE9" w:rsidRPr="00F82DE9" w:rsidRDefault="00F82DE9" w:rsidP="00F82DE9">
      <w:pPr>
        <w:numPr>
          <w:ilvl w:val="0"/>
          <w:numId w:val="4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If Federal Estate Taxes are due, a valid and enforceable lien must be assumed to have attached to all probate property in the decedent’s estate.</w:t>
      </w:r>
    </w:p>
    <w:p w14:paraId="6E6BAFDA" w14:textId="77777777" w:rsidR="00F82DE9" w:rsidRPr="00F82DE9" w:rsidRDefault="00F82DE9" w:rsidP="00F82DE9">
      <w:pPr>
        <w:ind w:left="1080"/>
        <w:rPr>
          <w:rFonts w:ascii="Calibri" w:eastAsia="Calibri" w:hAnsi="Calibri" w:cs="Times New Roman"/>
          <w:sz w:val="22"/>
          <w:szCs w:val="22"/>
        </w:rPr>
      </w:pPr>
    </w:p>
    <w:p w14:paraId="3446328F"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Duration of Lien</w:t>
      </w:r>
    </w:p>
    <w:p w14:paraId="040E753D" w14:textId="77777777" w:rsidR="00F82DE9" w:rsidRPr="00F82DE9" w:rsidRDefault="00F82DE9" w:rsidP="00F82DE9">
      <w:pPr>
        <w:numPr>
          <w:ilvl w:val="0"/>
          <w:numId w:val="4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lien of a Federal Estate Tax endures for </w:t>
      </w:r>
      <w:r w:rsidRPr="00F82DE9">
        <w:rPr>
          <w:rFonts w:ascii="Calibri" w:eastAsia="Calibri" w:hAnsi="Calibri" w:cs="Times New Roman"/>
          <w:sz w:val="22"/>
          <w:szCs w:val="22"/>
          <w:u w:val="single"/>
        </w:rPr>
        <w:t>10 years</w:t>
      </w:r>
      <w:r w:rsidRPr="00F82DE9">
        <w:rPr>
          <w:rFonts w:ascii="Calibri" w:eastAsia="Calibri" w:hAnsi="Calibri" w:cs="Times New Roman"/>
          <w:sz w:val="22"/>
          <w:szCs w:val="22"/>
        </w:rPr>
        <w:t xml:space="preserve"> from the </w:t>
      </w:r>
      <w:r w:rsidRPr="00F82DE9">
        <w:rPr>
          <w:rFonts w:ascii="Calibri" w:eastAsia="Calibri" w:hAnsi="Calibri" w:cs="Times New Roman"/>
          <w:sz w:val="22"/>
          <w:szCs w:val="22"/>
          <w:u w:val="single"/>
        </w:rPr>
        <w:t>date of death</w:t>
      </w:r>
      <w:r w:rsidRPr="00F82DE9">
        <w:rPr>
          <w:rFonts w:ascii="Calibri" w:eastAsia="Calibri" w:hAnsi="Calibri" w:cs="Times New Roman"/>
          <w:sz w:val="22"/>
          <w:szCs w:val="22"/>
        </w:rPr>
        <w:t xml:space="preserve"> unless the tax is sooner paid in full; unless the tax becomes unenforceable by reason of lapse of time; or, unless the lien of the tax is otherwise divested.</w:t>
      </w:r>
    </w:p>
    <w:p w14:paraId="39B45E1B" w14:textId="77777777" w:rsidR="00F82DE9" w:rsidRPr="00F82DE9" w:rsidRDefault="00F82DE9" w:rsidP="00F82DE9">
      <w:pPr>
        <w:numPr>
          <w:ilvl w:val="0"/>
          <w:numId w:val="4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The life of the lien may be extended beyond the 10-year period. Normally, suit must be instituted, or levy made in enforcement within 6 years after assessment. (26 USC 6502).</w:t>
      </w:r>
    </w:p>
    <w:p w14:paraId="578B0D72" w14:textId="77777777" w:rsidR="00F82DE9" w:rsidRPr="00F82DE9" w:rsidRDefault="00F82DE9" w:rsidP="00F82DE9">
      <w:pPr>
        <w:ind w:left="1080"/>
        <w:rPr>
          <w:rFonts w:ascii="Calibri" w:eastAsia="Calibri" w:hAnsi="Calibri" w:cs="Times New Roman"/>
          <w:sz w:val="22"/>
          <w:szCs w:val="22"/>
        </w:rPr>
      </w:pPr>
    </w:p>
    <w:p w14:paraId="0C8FADE0"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Priority of Lien</w:t>
      </w:r>
    </w:p>
    <w:p w14:paraId="7F0E2D95" w14:textId="77777777" w:rsidR="00F82DE9" w:rsidRPr="00F82DE9" w:rsidRDefault="00F82DE9" w:rsidP="00F82DE9">
      <w:pPr>
        <w:numPr>
          <w:ilvl w:val="0"/>
          <w:numId w:val="4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Judgment lien creditors, trustees in bankruptcy, and other statutory lien creditors, who normally enjoy priority over </w:t>
      </w:r>
      <w:r w:rsidRPr="00F82DE9">
        <w:rPr>
          <w:rFonts w:ascii="Calibri" w:eastAsia="Calibri" w:hAnsi="Calibri" w:cs="Times New Roman"/>
          <w:sz w:val="22"/>
          <w:szCs w:val="22"/>
          <w:u w:val="single"/>
        </w:rPr>
        <w:t>un</w:t>
      </w:r>
      <w:r w:rsidRPr="00F82DE9">
        <w:rPr>
          <w:rFonts w:ascii="Calibri" w:eastAsia="Calibri" w:hAnsi="Calibri" w:cs="Times New Roman"/>
          <w:sz w:val="22"/>
          <w:szCs w:val="22"/>
        </w:rPr>
        <w:t>filed Federal Tax Liens have no such protection against the Federal Estate Tax Lien if those creditors perfected their lien after the decedent died.</w:t>
      </w:r>
    </w:p>
    <w:p w14:paraId="5DF7AAB5" w14:textId="77777777" w:rsidR="00F82DE9" w:rsidRPr="00F82DE9" w:rsidRDefault="00F82DE9" w:rsidP="00F82DE9">
      <w:pPr>
        <w:numPr>
          <w:ilvl w:val="0"/>
          <w:numId w:val="4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Federal Estate Tax Lien is inferior in priority to transfers, mortgages, and other liens on the property which attached </w:t>
      </w:r>
      <w:r w:rsidRPr="00F82DE9">
        <w:rPr>
          <w:rFonts w:ascii="Calibri" w:eastAsia="Calibri" w:hAnsi="Calibri" w:cs="Times New Roman"/>
          <w:sz w:val="22"/>
          <w:szCs w:val="22"/>
          <w:u w:val="single"/>
        </w:rPr>
        <w:t>prior</w:t>
      </w:r>
      <w:r w:rsidRPr="00F82DE9">
        <w:rPr>
          <w:rFonts w:ascii="Calibri" w:eastAsia="Calibri" w:hAnsi="Calibri" w:cs="Times New Roman"/>
          <w:sz w:val="22"/>
          <w:szCs w:val="22"/>
        </w:rPr>
        <w:t xml:space="preserve"> to the death of the decedent.</w:t>
      </w:r>
    </w:p>
    <w:p w14:paraId="015CCC15" w14:textId="77777777" w:rsidR="00F82DE9" w:rsidRPr="00F82DE9" w:rsidRDefault="00F82DE9" w:rsidP="00F82DE9">
      <w:pPr>
        <w:numPr>
          <w:ilvl w:val="0"/>
          <w:numId w:val="4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In the event of the foreclosure of a prior lien involving probate property, a Federal Estate Tax Lien subordinate to the mortgage being foreclosed would require the joinder of the U.S. or the giving of notice to the IRS and a waiver by the IRS of their “Right of Redemption.”</w:t>
      </w:r>
    </w:p>
    <w:p w14:paraId="600DEB70" w14:textId="77777777" w:rsidR="00F82DE9" w:rsidRPr="00F82DE9" w:rsidRDefault="00F82DE9" w:rsidP="00F82DE9">
      <w:pPr>
        <w:ind w:left="1080"/>
        <w:rPr>
          <w:rFonts w:ascii="Calibri" w:eastAsia="Calibri" w:hAnsi="Calibri" w:cs="Times New Roman"/>
          <w:sz w:val="22"/>
          <w:szCs w:val="22"/>
        </w:rPr>
      </w:pPr>
    </w:p>
    <w:p w14:paraId="110E0F2B"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Enforcement of the Lien</w:t>
      </w:r>
    </w:p>
    <w:p w14:paraId="63689DA4" w14:textId="77777777" w:rsidR="00F82DE9" w:rsidRPr="00F82DE9" w:rsidRDefault="00F82DE9" w:rsidP="00F82DE9">
      <w:pPr>
        <w:numPr>
          <w:ilvl w:val="0"/>
          <w:numId w:val="4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As a special lien (unrecorded) the Federal Estate Tax Lien is enforceable only by means of judicial foreclosure. Furthermore, it is enforceable only against property included in decedent’s estate. However, in the event a “Notice of Lien” is filed of record it may be enforced by administrative levy and distraint sale proceedings against any other property or right to property of persons liable for payment.</w:t>
      </w:r>
    </w:p>
    <w:p w14:paraId="3F747F2F" w14:textId="77777777" w:rsidR="00F82DE9" w:rsidRPr="00F82DE9" w:rsidRDefault="00F82DE9" w:rsidP="00F82DE9">
      <w:pPr>
        <w:ind w:left="1080"/>
        <w:rPr>
          <w:rFonts w:ascii="Calibri" w:eastAsia="Calibri" w:hAnsi="Calibri" w:cs="Times New Roman"/>
          <w:sz w:val="22"/>
          <w:szCs w:val="22"/>
        </w:rPr>
      </w:pPr>
    </w:p>
    <w:p w14:paraId="73400969"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Extinguishment of the Lien</w:t>
      </w:r>
    </w:p>
    <w:p w14:paraId="7AB5EB17" w14:textId="77777777" w:rsidR="00F82DE9" w:rsidRPr="00F82DE9" w:rsidRDefault="00F82DE9" w:rsidP="00F82DE9">
      <w:pPr>
        <w:ind w:left="1440"/>
        <w:rPr>
          <w:rFonts w:ascii="Calibri" w:eastAsia="Calibri" w:hAnsi="Calibri" w:cs="Times New Roman"/>
          <w:sz w:val="22"/>
          <w:szCs w:val="22"/>
        </w:rPr>
      </w:pPr>
      <w:r w:rsidRPr="00F82DE9">
        <w:rPr>
          <w:rFonts w:ascii="Calibri" w:eastAsia="Calibri" w:hAnsi="Calibri" w:cs="Times New Roman"/>
          <w:sz w:val="22"/>
          <w:szCs w:val="22"/>
        </w:rPr>
        <w:t>A Federal Estate Tax Lien may be ignored for a particular parcel of real property in any of the following circumstances:</w:t>
      </w:r>
    </w:p>
    <w:p w14:paraId="3008CB91" w14:textId="77777777" w:rsidR="00F82DE9" w:rsidRPr="00F82DE9" w:rsidRDefault="00F82DE9" w:rsidP="00F82DE9">
      <w:pPr>
        <w:numPr>
          <w:ilvl w:val="0"/>
          <w:numId w:val="4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tax has been paid in full, evidenced by an </w:t>
      </w:r>
      <w:r w:rsidRPr="00F82DE9">
        <w:rPr>
          <w:rFonts w:ascii="Calibri" w:eastAsia="Calibri" w:hAnsi="Calibri" w:cs="Times New Roman"/>
          <w:sz w:val="22"/>
          <w:szCs w:val="22"/>
          <w:u w:val="single"/>
        </w:rPr>
        <w:t>Estate Tax Closing Letter</w:t>
      </w:r>
      <w:r w:rsidRPr="00F82DE9">
        <w:rPr>
          <w:rFonts w:ascii="Calibri" w:eastAsia="Calibri" w:hAnsi="Calibri" w:cs="Times New Roman"/>
          <w:sz w:val="22"/>
          <w:szCs w:val="22"/>
        </w:rPr>
        <w:t xml:space="preserve"> issued by the IRS indicating that the Estate Tax Return, as filed has been accepted without audit or further adjustment; or</w:t>
      </w:r>
    </w:p>
    <w:p w14:paraId="5C76370A" w14:textId="77777777" w:rsidR="00F82DE9" w:rsidRPr="00F82DE9" w:rsidRDefault="00F82DE9" w:rsidP="00F82DE9">
      <w:pPr>
        <w:numPr>
          <w:ilvl w:val="0"/>
          <w:numId w:val="4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Evidence of the recording of a </w:t>
      </w:r>
      <w:r w:rsidRPr="00F82DE9">
        <w:rPr>
          <w:rFonts w:ascii="Calibri" w:eastAsia="Calibri" w:hAnsi="Calibri" w:cs="Times New Roman"/>
          <w:sz w:val="22"/>
          <w:szCs w:val="22"/>
          <w:u w:val="single"/>
        </w:rPr>
        <w:t>Certificate of Release</w:t>
      </w:r>
      <w:r w:rsidRPr="00F82DE9">
        <w:rPr>
          <w:rFonts w:ascii="Calibri" w:eastAsia="Calibri" w:hAnsi="Calibri" w:cs="Times New Roman"/>
          <w:sz w:val="22"/>
          <w:szCs w:val="22"/>
        </w:rPr>
        <w:t xml:space="preserve"> (26 USC 6325(a)); or</w:t>
      </w:r>
    </w:p>
    <w:p w14:paraId="3E2A71C5" w14:textId="77777777" w:rsidR="00F82DE9" w:rsidRPr="00F82DE9" w:rsidRDefault="00F82DE9" w:rsidP="00F82DE9">
      <w:pPr>
        <w:numPr>
          <w:ilvl w:val="0"/>
          <w:numId w:val="4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Evidence of the recording of a </w:t>
      </w:r>
      <w:r w:rsidRPr="00F82DE9">
        <w:rPr>
          <w:rFonts w:ascii="Calibri" w:eastAsia="Calibri" w:hAnsi="Calibri" w:cs="Times New Roman"/>
          <w:sz w:val="22"/>
          <w:szCs w:val="22"/>
          <w:u w:val="single"/>
        </w:rPr>
        <w:t>Certificate of Discharge</w:t>
      </w:r>
      <w:r w:rsidRPr="00F82DE9">
        <w:rPr>
          <w:rFonts w:ascii="Calibri" w:eastAsia="Calibri" w:hAnsi="Calibri" w:cs="Times New Roman"/>
          <w:sz w:val="22"/>
          <w:szCs w:val="22"/>
        </w:rPr>
        <w:t xml:space="preserve"> of the property from the Lien (26 USC 6325(b)</w:t>
      </w:r>
      <w:proofErr w:type="gramStart"/>
      <w:r w:rsidRPr="00F82DE9">
        <w:rPr>
          <w:rFonts w:ascii="Calibri" w:eastAsia="Calibri" w:hAnsi="Calibri" w:cs="Times New Roman"/>
          <w:sz w:val="22"/>
          <w:szCs w:val="22"/>
        </w:rPr>
        <w:t>);</w:t>
      </w:r>
      <w:proofErr w:type="gramEnd"/>
    </w:p>
    <w:p w14:paraId="7D5B650F" w14:textId="77777777" w:rsidR="00F82DE9" w:rsidRPr="00F82DE9" w:rsidRDefault="00F82DE9" w:rsidP="00F82DE9">
      <w:pPr>
        <w:numPr>
          <w:ilvl w:val="0"/>
          <w:numId w:val="4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If the fair market value of the estate’s remaining property is at least 2 times greater than the amount of the federal estate tax that is due, then the IRS will issue the Certificate of Discharge.</w:t>
      </w:r>
    </w:p>
    <w:p w14:paraId="3640F021" w14:textId="77777777" w:rsidR="00F82DE9" w:rsidRPr="00F82DE9" w:rsidRDefault="00F82DE9" w:rsidP="00F82DE9">
      <w:pPr>
        <w:numPr>
          <w:ilvl w:val="0"/>
          <w:numId w:val="4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The property to be insured is probate property which has been transferred to a purchaser or encumbered in favor of a holder of a security interest under the following condition:</w:t>
      </w:r>
    </w:p>
    <w:p w14:paraId="7448E93E" w14:textId="77777777" w:rsidR="00F82DE9" w:rsidRPr="00F82DE9" w:rsidRDefault="00F82DE9" w:rsidP="00F82DE9">
      <w:pPr>
        <w:numPr>
          <w:ilvl w:val="0"/>
          <w:numId w:val="4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 </w:t>
      </w:r>
      <w:r w:rsidRPr="00F82DE9">
        <w:rPr>
          <w:rFonts w:ascii="Calibri" w:eastAsia="Calibri" w:hAnsi="Calibri" w:cs="Times New Roman"/>
          <w:sz w:val="22"/>
          <w:szCs w:val="22"/>
          <w:u w:val="single"/>
        </w:rPr>
        <w:t>personal representative</w:t>
      </w:r>
      <w:r w:rsidRPr="00F82DE9">
        <w:rPr>
          <w:rFonts w:ascii="Calibri" w:eastAsia="Calibri" w:hAnsi="Calibri" w:cs="Times New Roman"/>
          <w:sz w:val="22"/>
          <w:szCs w:val="22"/>
        </w:rPr>
        <w:t xml:space="preserve"> has been </w:t>
      </w:r>
      <w:r w:rsidRPr="00F82DE9">
        <w:rPr>
          <w:rFonts w:ascii="Calibri" w:eastAsia="Calibri" w:hAnsi="Calibri" w:cs="Times New Roman"/>
          <w:sz w:val="22"/>
          <w:szCs w:val="22"/>
          <w:u w:val="single"/>
        </w:rPr>
        <w:t>discharged, by the IRS</w:t>
      </w:r>
      <w:r w:rsidRPr="00F82DE9">
        <w:rPr>
          <w:rFonts w:ascii="Calibri" w:eastAsia="Calibri" w:hAnsi="Calibri" w:cs="Times New Roman"/>
          <w:sz w:val="22"/>
          <w:szCs w:val="22"/>
        </w:rPr>
        <w:t>, from personal liability for payment of the tax (26 USC 6324(a)(3)); or</w:t>
      </w:r>
    </w:p>
    <w:p w14:paraId="2C28E5C3" w14:textId="77777777" w:rsidR="00F82DE9" w:rsidRPr="00F82DE9" w:rsidRDefault="00F82DE9" w:rsidP="00F82DE9">
      <w:pPr>
        <w:numPr>
          <w:ilvl w:val="0"/>
          <w:numId w:val="4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A transfer of </w:t>
      </w:r>
      <w:r w:rsidRPr="00F82DE9">
        <w:rPr>
          <w:rFonts w:ascii="Calibri" w:eastAsia="Calibri" w:hAnsi="Calibri" w:cs="Times New Roman"/>
          <w:sz w:val="22"/>
          <w:szCs w:val="22"/>
          <w:u w:val="single"/>
        </w:rPr>
        <w:t>non-probate</w:t>
      </w:r>
      <w:r w:rsidRPr="00F82DE9">
        <w:rPr>
          <w:rFonts w:ascii="Calibri" w:eastAsia="Calibri" w:hAnsi="Calibri" w:cs="Times New Roman"/>
          <w:sz w:val="22"/>
          <w:szCs w:val="22"/>
          <w:u w:val="single"/>
        </w:rPr>
        <w:softHyphen/>
      </w:r>
      <w:r w:rsidRPr="00F82DE9">
        <w:rPr>
          <w:rFonts w:ascii="Calibri" w:eastAsia="Calibri" w:hAnsi="Calibri" w:cs="Times New Roman"/>
          <w:sz w:val="22"/>
          <w:szCs w:val="22"/>
        </w:rPr>
        <w:t xml:space="preserve"> property to a bona fide purchaser (or encumbering it in favor of a holder of a security interest) by one liable under 26 USC 6324(a)(2) for the payment of the tax. Parties liable for payment of such tax are:</w:t>
      </w:r>
    </w:p>
    <w:p w14:paraId="38033598" w14:textId="77777777" w:rsidR="00F82DE9" w:rsidRPr="00F82DE9" w:rsidRDefault="00F82DE9" w:rsidP="00F82DE9">
      <w:pPr>
        <w:numPr>
          <w:ilvl w:val="0"/>
          <w:numId w:val="4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trustee</w:t>
      </w:r>
    </w:p>
    <w:p w14:paraId="6E2BD432" w14:textId="77777777" w:rsidR="00F82DE9" w:rsidRPr="00F82DE9" w:rsidRDefault="00F82DE9" w:rsidP="00F82DE9">
      <w:pPr>
        <w:numPr>
          <w:ilvl w:val="0"/>
          <w:numId w:val="4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surviving tenant</w:t>
      </w:r>
    </w:p>
    <w:p w14:paraId="2278630C" w14:textId="77777777" w:rsidR="00F82DE9" w:rsidRPr="00F82DE9" w:rsidRDefault="00F82DE9" w:rsidP="00F82DE9">
      <w:pPr>
        <w:numPr>
          <w:ilvl w:val="0"/>
          <w:numId w:val="4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beneficiary</w:t>
      </w:r>
    </w:p>
    <w:p w14:paraId="7F7C97F3" w14:textId="77777777" w:rsidR="00F82DE9" w:rsidRPr="00F82DE9" w:rsidRDefault="00F82DE9" w:rsidP="00F82DE9">
      <w:pPr>
        <w:numPr>
          <w:ilvl w:val="0"/>
          <w:numId w:val="4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When a surviving tenant by the entirety title holder or surviving joint tenant title holder, by operation of law (automatically), takes title to the property, the Federal Estate Tax Lien is discharged if the surviving tenant is selling to a bona fide purchaser and no Notice of Lien has been filed. Essentially, the lien follows the proceeds (26 USC 6324(a)).</w:t>
      </w:r>
    </w:p>
    <w:p w14:paraId="69DE4840" w14:textId="77777777" w:rsidR="00F82DE9" w:rsidRPr="00F82DE9" w:rsidRDefault="00F82DE9" w:rsidP="00F82DE9">
      <w:pPr>
        <w:ind w:left="1080"/>
        <w:rPr>
          <w:rFonts w:ascii="Calibri" w:eastAsia="Calibri" w:hAnsi="Calibri" w:cs="Times New Roman"/>
          <w:sz w:val="22"/>
          <w:szCs w:val="22"/>
        </w:rPr>
      </w:pPr>
    </w:p>
    <w:p w14:paraId="0F86AC93" w14:textId="77777777" w:rsidR="00F82DE9" w:rsidRPr="00F82DE9" w:rsidRDefault="00F82DE9" w:rsidP="00F82DE9">
      <w:pPr>
        <w:numPr>
          <w:ilvl w:val="0"/>
          <w:numId w:val="3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Underwriting Guidelines</w:t>
      </w:r>
    </w:p>
    <w:p w14:paraId="3C973767" w14:textId="77777777" w:rsidR="00F82DE9" w:rsidRPr="00F82DE9" w:rsidRDefault="00F82DE9" w:rsidP="00F82DE9">
      <w:pPr>
        <w:numPr>
          <w:ilvl w:val="0"/>
          <w:numId w:val="5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If an estate has a value in excess of the unified credit, ORNTIC would require the payment of the Federal Estate Tax at settlement or the escrowing of all sale proceeds until formal discharge of the lien by the IRS.</w:t>
      </w:r>
    </w:p>
    <w:p w14:paraId="10354682" w14:textId="77777777" w:rsidR="00F82DE9" w:rsidRPr="00F82DE9" w:rsidRDefault="00F82DE9" w:rsidP="00F82DE9">
      <w:pPr>
        <w:numPr>
          <w:ilvl w:val="0"/>
          <w:numId w:val="5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Payment or discharge of the Federal Estate Tax Lien is required even though no Notice of Lien has been filed and even if we have a bona fide purchaser.</w:t>
      </w:r>
    </w:p>
    <w:p w14:paraId="66DEA5C4" w14:textId="77777777" w:rsidR="00F82DE9" w:rsidRPr="00F82DE9" w:rsidRDefault="00F82DE9" w:rsidP="00F82DE9">
      <w:pPr>
        <w:ind w:left="1080"/>
        <w:rPr>
          <w:rFonts w:ascii="Calibri" w:eastAsia="Calibri" w:hAnsi="Calibri" w:cs="Times New Roman"/>
          <w:sz w:val="22"/>
          <w:szCs w:val="22"/>
        </w:rPr>
      </w:pPr>
    </w:p>
    <w:p w14:paraId="068A476B" w14:textId="77777777" w:rsidR="00F82DE9" w:rsidRPr="00F82DE9" w:rsidRDefault="00F82DE9" w:rsidP="00F82DE9">
      <w:pPr>
        <w:numPr>
          <w:ilvl w:val="0"/>
          <w:numId w:val="2"/>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Miscellaneous</w:t>
      </w:r>
    </w:p>
    <w:p w14:paraId="01E286FA" w14:textId="77777777" w:rsidR="00F82DE9" w:rsidRPr="00F82DE9" w:rsidRDefault="00F82DE9" w:rsidP="00F82DE9">
      <w:pPr>
        <w:rPr>
          <w:rFonts w:ascii="Calibri" w:eastAsia="Calibri" w:hAnsi="Calibri" w:cs="Times New Roman"/>
          <w:sz w:val="22"/>
          <w:szCs w:val="22"/>
        </w:rPr>
      </w:pPr>
    </w:p>
    <w:p w14:paraId="6A60D3A6" w14:textId="77777777" w:rsidR="00F82DE9" w:rsidRPr="00F82DE9" w:rsidRDefault="00F82DE9" w:rsidP="00F82DE9">
      <w:pPr>
        <w:numPr>
          <w:ilvl w:val="0"/>
          <w:numId w:val="5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Personal Representative’s Deed</w:t>
      </w:r>
    </w:p>
    <w:p w14:paraId="1FA4754E" w14:textId="77777777" w:rsidR="00F82DE9" w:rsidRPr="00F82DE9" w:rsidRDefault="00F82DE9" w:rsidP="00F82DE9">
      <w:pPr>
        <w:numPr>
          <w:ilvl w:val="0"/>
          <w:numId w:val="5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Fiduciary deed</w:t>
      </w:r>
    </w:p>
    <w:p w14:paraId="0334EE55" w14:textId="77777777" w:rsidR="00F82DE9" w:rsidRPr="00F82DE9" w:rsidRDefault="00F82DE9" w:rsidP="00F82DE9">
      <w:pPr>
        <w:numPr>
          <w:ilvl w:val="0"/>
          <w:numId w:val="5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Do not use a “Special Warranty” deed. A fiduciary cannot be compelled to convey real property by special warranty since a fiduciary can convey no better title than he or she has. </w:t>
      </w:r>
      <w:proofErr w:type="spellStart"/>
      <w:r w:rsidRPr="00F82DE9">
        <w:rPr>
          <w:rFonts w:ascii="Calibri" w:eastAsia="Calibri" w:hAnsi="Calibri" w:cs="Times New Roman"/>
          <w:sz w:val="22"/>
          <w:szCs w:val="22"/>
          <w:u w:val="single"/>
        </w:rPr>
        <w:t>Preissman</w:t>
      </w:r>
      <w:proofErr w:type="spellEnd"/>
      <w:r w:rsidRPr="00F82DE9">
        <w:rPr>
          <w:rFonts w:ascii="Calibri" w:eastAsia="Calibri" w:hAnsi="Calibri" w:cs="Times New Roman"/>
          <w:sz w:val="22"/>
          <w:szCs w:val="22"/>
          <w:u w:val="single"/>
        </w:rPr>
        <w:t xml:space="preserve"> v. Harmatz</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264 MD 715, 288 A 2d (1972)</w:t>
      </w:r>
    </w:p>
    <w:p w14:paraId="20A7E0D0" w14:textId="77777777" w:rsidR="00F82DE9" w:rsidRPr="00F82DE9" w:rsidRDefault="00F82DE9" w:rsidP="00F82DE9">
      <w:pPr>
        <w:ind w:left="1080"/>
        <w:rPr>
          <w:rFonts w:ascii="Calibri" w:eastAsia="Calibri" w:hAnsi="Calibri" w:cs="Times New Roman"/>
          <w:sz w:val="22"/>
          <w:szCs w:val="22"/>
        </w:rPr>
      </w:pPr>
    </w:p>
    <w:p w14:paraId="63684C4D" w14:textId="77777777" w:rsidR="00F82DE9" w:rsidRPr="00F82DE9" w:rsidRDefault="00F82DE9" w:rsidP="00F82DE9">
      <w:pPr>
        <w:numPr>
          <w:ilvl w:val="0"/>
          <w:numId w:val="5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Closed Estate</w:t>
      </w:r>
    </w:p>
    <w:p w14:paraId="3344146B" w14:textId="77777777" w:rsidR="00F82DE9" w:rsidRPr="00F82DE9" w:rsidRDefault="00F82DE9" w:rsidP="00F82DE9">
      <w:pPr>
        <w:numPr>
          <w:ilvl w:val="0"/>
          <w:numId w:val="5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If property is discovered after an estate has been closed and the personal representative’s appointment has been terminated, the Orphan’s Court, upon petition of an interested person, may appoint the same personal representative or a successor personal representative (Section 10-104 of Estates and Trusts Article). Consequently, the personal representative of a closed estate must be reappointed to sign a </w:t>
      </w:r>
      <w:r w:rsidRPr="00F82DE9">
        <w:rPr>
          <w:rFonts w:ascii="Calibri" w:eastAsia="Calibri" w:hAnsi="Calibri" w:cs="Times New Roman"/>
          <w:sz w:val="22"/>
          <w:szCs w:val="22"/>
          <w:u w:val="single"/>
        </w:rPr>
        <w:t>new</w:t>
      </w:r>
      <w:r w:rsidRPr="00F82DE9">
        <w:rPr>
          <w:rFonts w:ascii="Calibri" w:eastAsia="Calibri" w:hAnsi="Calibri" w:cs="Times New Roman"/>
          <w:sz w:val="22"/>
          <w:szCs w:val="22"/>
        </w:rPr>
        <w:t xml:space="preserve"> deed.</w:t>
      </w:r>
    </w:p>
    <w:p w14:paraId="55D01CAB" w14:textId="77777777" w:rsidR="00F82DE9" w:rsidRPr="00F82DE9" w:rsidRDefault="00F82DE9" w:rsidP="00F82DE9">
      <w:pPr>
        <w:numPr>
          <w:ilvl w:val="0"/>
          <w:numId w:val="5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Under Section 10-105 of the Estates and Trusts Article, a personal representative has the authority to perform “</w:t>
      </w:r>
      <w:r w:rsidRPr="00F82DE9">
        <w:rPr>
          <w:rFonts w:ascii="Calibri" w:eastAsia="Calibri" w:hAnsi="Calibri" w:cs="Times New Roman"/>
          <w:sz w:val="22"/>
          <w:szCs w:val="22"/>
          <w:u w:val="single"/>
        </w:rPr>
        <w:t>ministerial or confirmatory acts</w:t>
      </w:r>
      <w:r w:rsidRPr="00F82DE9">
        <w:rPr>
          <w:rFonts w:ascii="Calibri" w:eastAsia="Calibri" w:hAnsi="Calibri" w:cs="Times New Roman"/>
          <w:sz w:val="22"/>
          <w:szCs w:val="22"/>
        </w:rPr>
        <w:t xml:space="preserve">” even after the estate is closed or the appointment of the personal representative has been terminated. Consequently, the personal representative of a closed estate does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have to be </w:t>
      </w:r>
      <w:r w:rsidRPr="00F82DE9">
        <w:rPr>
          <w:rFonts w:ascii="Calibri" w:eastAsia="Calibri" w:hAnsi="Calibri" w:cs="Times New Roman"/>
          <w:sz w:val="22"/>
          <w:szCs w:val="22"/>
          <w:u w:val="single"/>
        </w:rPr>
        <w:t>reappointed</w:t>
      </w:r>
      <w:r w:rsidRPr="00F82DE9">
        <w:rPr>
          <w:rFonts w:ascii="Calibri" w:eastAsia="Calibri" w:hAnsi="Calibri" w:cs="Times New Roman"/>
          <w:sz w:val="22"/>
          <w:szCs w:val="22"/>
        </w:rPr>
        <w:t xml:space="preserve"> to sign a </w:t>
      </w:r>
      <w:r w:rsidRPr="00F82DE9">
        <w:rPr>
          <w:rFonts w:ascii="Calibri" w:eastAsia="Calibri" w:hAnsi="Calibri" w:cs="Times New Roman"/>
          <w:sz w:val="22"/>
          <w:szCs w:val="22"/>
          <w:u w:val="single"/>
        </w:rPr>
        <w:t>confirmatory deed</w:t>
      </w:r>
      <w:r w:rsidRPr="00F82DE9">
        <w:rPr>
          <w:rFonts w:ascii="Calibri" w:eastAsia="Calibri" w:hAnsi="Calibri" w:cs="Times New Roman"/>
          <w:sz w:val="22"/>
          <w:szCs w:val="22"/>
        </w:rPr>
        <w:t>.</w:t>
      </w:r>
    </w:p>
    <w:p w14:paraId="2BE8B71F" w14:textId="77777777" w:rsidR="00F82DE9" w:rsidRPr="00F82DE9" w:rsidRDefault="00F82DE9" w:rsidP="00F82DE9">
      <w:pPr>
        <w:rPr>
          <w:rFonts w:ascii="Calibri" w:eastAsia="Calibri" w:hAnsi="Calibri" w:cs="Times New Roman"/>
          <w:sz w:val="22"/>
          <w:szCs w:val="22"/>
        </w:rPr>
      </w:pPr>
    </w:p>
    <w:p w14:paraId="19C5E26D" w14:textId="77777777" w:rsidR="00F82DE9" w:rsidRPr="00F82DE9" w:rsidRDefault="00F82DE9" w:rsidP="00F82DE9">
      <w:pPr>
        <w:numPr>
          <w:ilvl w:val="0"/>
          <w:numId w:val="1"/>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u w:val="single"/>
        </w:rPr>
        <w:t>MARYLAND PROPERTY SUBJECT TO A FOREIGN ESTATE</w:t>
      </w:r>
    </w:p>
    <w:p w14:paraId="578C31FC" w14:textId="77777777" w:rsidR="00F82DE9" w:rsidRPr="00F82DE9" w:rsidRDefault="00F82DE9" w:rsidP="00F82DE9">
      <w:pPr>
        <w:rPr>
          <w:rFonts w:ascii="Calibri" w:eastAsia="Calibri" w:hAnsi="Calibri" w:cs="Times New Roman"/>
          <w:sz w:val="22"/>
          <w:szCs w:val="22"/>
        </w:rPr>
      </w:pPr>
    </w:p>
    <w:p w14:paraId="386667D7" w14:textId="77777777" w:rsidR="00F82DE9" w:rsidRPr="00F82DE9" w:rsidRDefault="00F82DE9" w:rsidP="00F82DE9">
      <w:pPr>
        <w:numPr>
          <w:ilvl w:val="0"/>
          <w:numId w:val="54"/>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Who holds legal title to Maryland property upon death of an out-of-state decedent?</w:t>
      </w:r>
    </w:p>
    <w:p w14:paraId="4BAA6E09" w14:textId="77777777" w:rsidR="00F82DE9" w:rsidRPr="00F82DE9" w:rsidRDefault="00F82DE9" w:rsidP="00F82DE9">
      <w:pPr>
        <w:ind w:left="720"/>
        <w:rPr>
          <w:rFonts w:ascii="Calibri" w:eastAsia="Calibri" w:hAnsi="Calibri" w:cs="Times New Roman"/>
          <w:b/>
          <w:sz w:val="22"/>
          <w:szCs w:val="22"/>
        </w:rPr>
      </w:pPr>
    </w:p>
    <w:p w14:paraId="644C1B52" w14:textId="77777777" w:rsidR="00F82DE9" w:rsidRPr="00F82DE9" w:rsidRDefault="00F82DE9" w:rsidP="00F82DE9">
      <w:pPr>
        <w:numPr>
          <w:ilvl w:val="0"/>
          <w:numId w:val="5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Under Sections 5-501 and 5-502 of the Estates and Trusts Article, the foreign personal representative/executor (person who was appointed in foreign jurisdiction to hold title and handle administration of the estate) holds legal title to Maryland real property.</w:t>
      </w:r>
    </w:p>
    <w:p w14:paraId="56C100A3" w14:textId="77777777" w:rsidR="00F82DE9" w:rsidRPr="00F82DE9" w:rsidRDefault="00F82DE9" w:rsidP="00F82DE9">
      <w:pPr>
        <w:numPr>
          <w:ilvl w:val="0"/>
          <w:numId w:val="5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In Maryland, “A foreign personal representative has the same power to sell, mortgage, lease, convey or otherwise transfer or assign real property or an interest in real property which is located in Maryland as a Maryland personal representative has with respect to real property and an interest in real property.” (Section 5-502 of the Estates and Trusts Article).</w:t>
      </w:r>
    </w:p>
    <w:p w14:paraId="454263FA" w14:textId="77777777" w:rsidR="00F82DE9" w:rsidRPr="00F82DE9" w:rsidRDefault="00F82DE9" w:rsidP="00F82DE9">
      <w:pPr>
        <w:numPr>
          <w:ilvl w:val="0"/>
          <w:numId w:val="5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He or she may sell, mortgage, lease, convey or otherwise transfer or assign real property in Maryland. Same powers with respect to real property that a Maryland personal representative has.</w:t>
      </w:r>
    </w:p>
    <w:p w14:paraId="1F0243D7" w14:textId="77777777" w:rsidR="00F82DE9" w:rsidRPr="00F82DE9" w:rsidRDefault="00F82DE9" w:rsidP="00F82DE9">
      <w:pPr>
        <w:numPr>
          <w:ilvl w:val="0"/>
          <w:numId w:val="5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Title to real property located in Maryland, sold, mortgaged, leased, conveyed, or transferred by a foreign personal representative before or after July 1, 1981, is </w:t>
      </w:r>
      <w:r w:rsidRPr="00F82DE9">
        <w:rPr>
          <w:rFonts w:ascii="Calibri" w:eastAsia="Calibri" w:hAnsi="Calibri" w:cs="Times New Roman"/>
          <w:sz w:val="22"/>
          <w:szCs w:val="22"/>
          <w:u w:val="single"/>
        </w:rPr>
        <w:t>not</w:t>
      </w:r>
      <w:r w:rsidRPr="00F82DE9">
        <w:rPr>
          <w:rFonts w:ascii="Calibri" w:eastAsia="Calibri" w:hAnsi="Calibri" w:cs="Times New Roman"/>
          <w:sz w:val="22"/>
          <w:szCs w:val="22"/>
        </w:rPr>
        <w:t xml:space="preserve"> defective solely by reason of the failure of the foreign personal representative to comply with the requirements of the jurisdiction in which the representative was appointed concerning the sale, mortgage or transfer of real property.</w:t>
      </w:r>
    </w:p>
    <w:p w14:paraId="34F156AA" w14:textId="77777777" w:rsidR="00F82DE9" w:rsidRPr="00F82DE9" w:rsidRDefault="00F82DE9" w:rsidP="00F82DE9">
      <w:pPr>
        <w:numPr>
          <w:ilvl w:val="0"/>
          <w:numId w:val="5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foreign personal representative is not required to take out letters of administration in Maryland. But must provide the Maryland Orphan’s Court with a copy of the foreign State’s equivalent of them (Section 5-501 of the Estates and Trusts Article)</w:t>
      </w:r>
    </w:p>
    <w:p w14:paraId="29967D25" w14:textId="77777777" w:rsidR="00F82DE9" w:rsidRPr="00F82DE9" w:rsidRDefault="00F82DE9" w:rsidP="00F82DE9">
      <w:pPr>
        <w:numPr>
          <w:ilvl w:val="0"/>
          <w:numId w:val="56"/>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w:t>
      </w:r>
      <w:r w:rsidRPr="00F82DE9">
        <w:rPr>
          <w:rFonts w:ascii="Calibri" w:eastAsia="Calibri" w:hAnsi="Calibri" w:cs="Times New Roman"/>
          <w:sz w:val="22"/>
          <w:szCs w:val="22"/>
          <w:u w:val="single"/>
        </w:rPr>
        <w:t>Ancillary” administration</w:t>
      </w:r>
      <w:r w:rsidRPr="00F82DE9">
        <w:rPr>
          <w:rFonts w:ascii="Calibri" w:eastAsia="Calibri" w:hAnsi="Calibri" w:cs="Times New Roman"/>
          <w:sz w:val="22"/>
          <w:szCs w:val="22"/>
        </w:rPr>
        <w:t xml:space="preserve"> is </w:t>
      </w:r>
      <w:r w:rsidRPr="00F82DE9">
        <w:rPr>
          <w:rFonts w:ascii="Calibri" w:eastAsia="Calibri" w:hAnsi="Calibri" w:cs="Times New Roman"/>
          <w:sz w:val="22"/>
          <w:szCs w:val="22"/>
          <w:u w:val="single"/>
        </w:rPr>
        <w:t>no longer required</w:t>
      </w:r>
      <w:r w:rsidRPr="00F82DE9">
        <w:rPr>
          <w:rFonts w:ascii="Calibri" w:eastAsia="Calibri" w:hAnsi="Calibri" w:cs="Times New Roman"/>
          <w:sz w:val="22"/>
          <w:szCs w:val="22"/>
        </w:rPr>
        <w:t xml:space="preserve"> under Maryland law. </w:t>
      </w:r>
      <w:r w:rsidRPr="00F82DE9">
        <w:rPr>
          <w:rFonts w:ascii="Calibri" w:eastAsia="Calibri" w:hAnsi="Calibri" w:cs="Times New Roman"/>
          <w:sz w:val="22"/>
          <w:szCs w:val="22"/>
          <w:u w:val="single"/>
        </w:rPr>
        <w:t>However</w:t>
      </w:r>
      <w:r w:rsidRPr="00F82DE9">
        <w:rPr>
          <w:rFonts w:ascii="Calibri" w:eastAsia="Calibri" w:hAnsi="Calibri" w:cs="Times New Roman"/>
          <w:sz w:val="22"/>
          <w:szCs w:val="22"/>
        </w:rPr>
        <w:t>, in Maryland, the foreign personal representative/executor must send and publish notice to creditors, file a copy of the Personal Representative’s/Executor’s out-of-state appointment, file an authenticated copy of the will and appraisal and have Maryland Inheritance taxes filed and paid.</w:t>
      </w:r>
    </w:p>
    <w:p w14:paraId="0D4BAF90" w14:textId="77777777" w:rsidR="00F82DE9" w:rsidRPr="00F82DE9" w:rsidRDefault="00F82DE9" w:rsidP="00F82DE9">
      <w:pPr>
        <w:ind w:left="1080"/>
        <w:rPr>
          <w:rFonts w:ascii="Calibri" w:eastAsia="Calibri" w:hAnsi="Calibri" w:cs="Times New Roman"/>
          <w:sz w:val="22"/>
          <w:szCs w:val="22"/>
        </w:rPr>
      </w:pPr>
    </w:p>
    <w:p w14:paraId="2B9AE6DA" w14:textId="77777777" w:rsidR="00F82DE9" w:rsidRPr="00F82DE9" w:rsidRDefault="00F82DE9" w:rsidP="00F82DE9">
      <w:pPr>
        <w:numPr>
          <w:ilvl w:val="0"/>
          <w:numId w:val="54"/>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Schedule B-1 Commitment Requirements/Foreign Estate Documentation</w:t>
      </w:r>
    </w:p>
    <w:p w14:paraId="7097143B" w14:textId="77777777" w:rsidR="00F82DE9" w:rsidRPr="00F82DE9" w:rsidRDefault="00F82DE9" w:rsidP="00F82DE9">
      <w:pPr>
        <w:ind w:left="1080"/>
        <w:rPr>
          <w:rFonts w:ascii="Calibri" w:eastAsia="Calibri" w:hAnsi="Calibri" w:cs="Times New Roman"/>
          <w:sz w:val="22"/>
          <w:szCs w:val="22"/>
        </w:rPr>
      </w:pPr>
    </w:p>
    <w:p w14:paraId="6EF00FDF" w14:textId="77777777" w:rsidR="00F82DE9" w:rsidRPr="00F82DE9" w:rsidRDefault="00F82DE9" w:rsidP="00F82DE9">
      <w:pPr>
        <w:ind w:left="1080"/>
        <w:rPr>
          <w:rFonts w:ascii="Calibri" w:eastAsia="Calibri" w:hAnsi="Calibri" w:cs="Times New Roman"/>
          <w:sz w:val="22"/>
          <w:szCs w:val="22"/>
        </w:rPr>
      </w:pPr>
      <w:r w:rsidRPr="00F82DE9">
        <w:rPr>
          <w:rFonts w:ascii="Calibri" w:eastAsia="Calibri" w:hAnsi="Calibri" w:cs="Times New Roman"/>
          <w:sz w:val="22"/>
          <w:szCs w:val="22"/>
        </w:rPr>
        <w:t xml:space="preserve">The following documentation must be received and reviewed prior to settlement and recited as Schedule B-1 commitment requirements where a </w:t>
      </w:r>
      <w:r w:rsidRPr="00F82DE9">
        <w:rPr>
          <w:rFonts w:ascii="Calibri" w:eastAsia="Calibri" w:hAnsi="Calibri" w:cs="Times New Roman"/>
          <w:sz w:val="22"/>
          <w:szCs w:val="22"/>
          <w:u w:val="single"/>
        </w:rPr>
        <w:t>foreign estate</w:t>
      </w:r>
      <w:r w:rsidRPr="00F82DE9">
        <w:rPr>
          <w:rFonts w:ascii="Calibri" w:eastAsia="Calibri" w:hAnsi="Calibri" w:cs="Times New Roman"/>
          <w:sz w:val="22"/>
          <w:szCs w:val="22"/>
        </w:rPr>
        <w:t xml:space="preserve"> is mortgaging or selling real property:</w:t>
      </w:r>
    </w:p>
    <w:p w14:paraId="0A9DC258" w14:textId="77777777" w:rsidR="00F82DE9" w:rsidRPr="00F82DE9" w:rsidRDefault="00F82DE9" w:rsidP="00F82DE9">
      <w:pPr>
        <w:ind w:left="1080"/>
        <w:rPr>
          <w:rFonts w:ascii="Calibri" w:eastAsia="Calibri" w:hAnsi="Calibri" w:cs="Times New Roman"/>
          <w:sz w:val="22"/>
          <w:szCs w:val="22"/>
        </w:rPr>
      </w:pPr>
    </w:p>
    <w:p w14:paraId="613565D6" w14:textId="77777777" w:rsidR="00F82DE9" w:rsidRPr="00F82DE9" w:rsidRDefault="00F82DE9" w:rsidP="00F82DE9">
      <w:pPr>
        <w:numPr>
          <w:ilvl w:val="0"/>
          <w:numId w:val="57"/>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Required foreign estate documentation:</w:t>
      </w:r>
    </w:p>
    <w:p w14:paraId="5890A19A"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 raised seal original death certificate or a copy of death certificate; and</w:t>
      </w:r>
    </w:p>
    <w:p w14:paraId="3F946923"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Authenticated copy of the will (28 USC 1738); and</w:t>
      </w:r>
    </w:p>
    <w:p w14:paraId="3B92358A"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u w:val="single"/>
        </w:rPr>
        <w:t>Proof that verified will, verified application describing the Maryland property and its value, and a copy of the Foreign State’s order appointing a personal representative/executor have been filed in Maryland.</w:t>
      </w:r>
      <w:r w:rsidRPr="00F82DE9">
        <w:rPr>
          <w:rFonts w:ascii="Calibri" w:eastAsia="Calibri" w:hAnsi="Calibri" w:cs="Times New Roman"/>
          <w:sz w:val="22"/>
          <w:szCs w:val="22"/>
        </w:rPr>
        <w:t xml:space="preserve"> (Section 5-504 of the Estates and Trusts Article); and</w:t>
      </w:r>
    </w:p>
    <w:p w14:paraId="731CB018"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Proof of Notice of Appointment of Personal Representative to Creditors and Interested Personal was sent and publication of the same (Section 5-504 of the Estates and Trusts Article); and</w:t>
      </w:r>
    </w:p>
    <w:p w14:paraId="2E9C7511"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Claims filed within the Maryland foreign estate administration (</w:t>
      </w:r>
      <w:r w:rsidRPr="007050AF">
        <w:rPr>
          <w:rFonts w:ascii="Calibri" w:eastAsia="Calibri" w:hAnsi="Calibri" w:cs="Times New Roman"/>
          <w:sz w:val="22"/>
          <w:szCs w:val="22"/>
          <w:u w:val="single"/>
        </w:rPr>
        <w:t>Note</w:t>
      </w:r>
      <w:r w:rsidRPr="00F82DE9">
        <w:rPr>
          <w:rFonts w:ascii="Calibri" w:eastAsia="Calibri" w:hAnsi="Calibri" w:cs="Times New Roman"/>
          <w:sz w:val="22"/>
          <w:szCs w:val="22"/>
        </w:rPr>
        <w:t xml:space="preserve">: do not have to be paid off and released at settlement </w:t>
      </w:r>
      <w:proofErr w:type="gramStart"/>
      <w:r w:rsidRPr="00F82DE9">
        <w:rPr>
          <w:rFonts w:ascii="Calibri" w:eastAsia="Calibri" w:hAnsi="Calibri" w:cs="Times New Roman"/>
          <w:sz w:val="22"/>
          <w:szCs w:val="22"/>
        </w:rPr>
        <w:t>as long as</w:t>
      </w:r>
      <w:proofErr w:type="gramEnd"/>
      <w:r w:rsidRPr="00F82DE9">
        <w:rPr>
          <w:rFonts w:ascii="Calibri" w:eastAsia="Calibri" w:hAnsi="Calibri" w:cs="Times New Roman"/>
          <w:sz w:val="22"/>
          <w:szCs w:val="22"/>
        </w:rPr>
        <w:t xml:space="preserve"> we have a conveyance to a bona fide purchaser.) (Section 5-503 of the Estates and Trusts Article); and</w:t>
      </w:r>
    </w:p>
    <w:p w14:paraId="4343D9D4"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u w:val="single"/>
        </w:rPr>
        <w:t>Verification of payment or payment at settlement of the Maryland Inheritance Taxes</w:t>
      </w:r>
      <w:r w:rsidRPr="00F82DE9">
        <w:rPr>
          <w:rFonts w:ascii="Calibri" w:eastAsia="Calibri" w:hAnsi="Calibri" w:cs="Times New Roman"/>
          <w:sz w:val="22"/>
          <w:szCs w:val="22"/>
        </w:rPr>
        <w:t xml:space="preserve"> even if we have a conveyance to a bona fide purchaser; and</w:t>
      </w:r>
    </w:p>
    <w:p w14:paraId="1D086CE4"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Verification of payment or payment and release of Maryland Estate Tax, if a Notice of Lien for Maryland Estate Tax has been filed/recorded or we do not have a bona fide purchaser; and</w:t>
      </w:r>
    </w:p>
    <w:p w14:paraId="67461641"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Verification of payment or payment of Federal Estate Tax Lien, if gross estate of all decedent’s assets exceeds the “unified credit” in place for year decedent died; and</w:t>
      </w:r>
    </w:p>
    <w:p w14:paraId="06D0BAFF" w14:textId="77777777" w:rsidR="00F82DE9" w:rsidRPr="00F82DE9" w:rsidRDefault="00F82DE9" w:rsidP="00F82DE9">
      <w:pPr>
        <w:numPr>
          <w:ilvl w:val="0"/>
          <w:numId w:val="58"/>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Execution of “Personal Representative’s Title Affidavit.”</w:t>
      </w:r>
    </w:p>
    <w:p w14:paraId="10A27406" w14:textId="77777777" w:rsidR="00F82DE9" w:rsidRPr="00F82DE9" w:rsidRDefault="00F82DE9" w:rsidP="00F82DE9">
      <w:pPr>
        <w:ind w:left="1080"/>
        <w:rPr>
          <w:rFonts w:ascii="Calibri" w:eastAsia="Calibri" w:hAnsi="Calibri" w:cs="Times New Roman"/>
          <w:sz w:val="22"/>
          <w:szCs w:val="22"/>
        </w:rPr>
      </w:pPr>
    </w:p>
    <w:p w14:paraId="4349C42D" w14:textId="77777777" w:rsidR="00F82DE9" w:rsidRPr="00F82DE9" w:rsidRDefault="00F82DE9" w:rsidP="00F82DE9">
      <w:pPr>
        <w:numPr>
          <w:ilvl w:val="0"/>
          <w:numId w:val="54"/>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Claims and Maryland property subject to a Foreign Estate</w:t>
      </w:r>
    </w:p>
    <w:p w14:paraId="7FF7BC73" w14:textId="77777777" w:rsidR="00F82DE9" w:rsidRPr="00F82DE9" w:rsidRDefault="00F82DE9" w:rsidP="00F82DE9">
      <w:pPr>
        <w:ind w:left="720"/>
        <w:rPr>
          <w:rFonts w:ascii="Calibri" w:eastAsia="Calibri" w:hAnsi="Calibri" w:cs="Times New Roman"/>
          <w:b/>
          <w:sz w:val="22"/>
          <w:szCs w:val="22"/>
        </w:rPr>
      </w:pPr>
    </w:p>
    <w:p w14:paraId="5E057A44" w14:textId="77777777" w:rsidR="00F82DE9" w:rsidRPr="00F82DE9" w:rsidRDefault="00F82DE9" w:rsidP="00F82DE9">
      <w:pPr>
        <w:numPr>
          <w:ilvl w:val="0"/>
          <w:numId w:val="5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Limitation on Presentation of Claim</w:t>
      </w:r>
    </w:p>
    <w:p w14:paraId="13307186" w14:textId="77777777" w:rsidR="00F82DE9" w:rsidRPr="00F82DE9" w:rsidRDefault="00F82DE9" w:rsidP="00F82DE9">
      <w:pPr>
        <w:numPr>
          <w:ilvl w:val="0"/>
          <w:numId w:val="60"/>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Pursuant to Section 5-503 of the Estates and Trusts Article, claims against a nonresident decedent must be filed with the Register of Wills or the foreign personal representative within the </w:t>
      </w:r>
      <w:r w:rsidRPr="00F82DE9">
        <w:rPr>
          <w:rFonts w:ascii="Calibri" w:eastAsia="Calibri" w:hAnsi="Calibri" w:cs="Times New Roman"/>
          <w:sz w:val="22"/>
          <w:szCs w:val="22"/>
          <w:u w:val="single"/>
        </w:rPr>
        <w:t>earlier</w:t>
      </w:r>
      <w:r w:rsidRPr="00F82DE9">
        <w:rPr>
          <w:rFonts w:ascii="Calibri" w:eastAsia="Calibri" w:hAnsi="Calibri" w:cs="Times New Roman"/>
          <w:sz w:val="22"/>
          <w:szCs w:val="22"/>
        </w:rPr>
        <w:t xml:space="preserve"> of</w:t>
      </w:r>
    </w:p>
    <w:p w14:paraId="447FEDF5" w14:textId="77777777" w:rsidR="00F82DE9" w:rsidRPr="00F82DE9" w:rsidRDefault="00F82DE9" w:rsidP="00F82DE9">
      <w:pPr>
        <w:numPr>
          <w:ilvl w:val="0"/>
          <w:numId w:val="6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2 months after the foreign personal representative mails or delivers to the creditors “Notice of Appointment of the Foreign Personal Representative”; or</w:t>
      </w:r>
    </w:p>
    <w:p w14:paraId="7AD8A665" w14:textId="77777777" w:rsidR="00F82DE9" w:rsidRPr="00F82DE9" w:rsidRDefault="00F82DE9" w:rsidP="00F82DE9">
      <w:pPr>
        <w:numPr>
          <w:ilvl w:val="0"/>
          <w:numId w:val="61"/>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6 months after the death of the decedent</w:t>
      </w:r>
    </w:p>
    <w:p w14:paraId="64745B16" w14:textId="77777777" w:rsidR="00F82DE9" w:rsidRPr="00F82DE9" w:rsidRDefault="00F82DE9" w:rsidP="00F82DE9">
      <w:pPr>
        <w:ind w:left="1440"/>
        <w:rPr>
          <w:rFonts w:ascii="Calibri" w:eastAsia="Calibri" w:hAnsi="Calibri" w:cs="Times New Roman"/>
          <w:sz w:val="22"/>
          <w:szCs w:val="22"/>
        </w:rPr>
      </w:pPr>
    </w:p>
    <w:p w14:paraId="5ED7587F" w14:textId="77777777" w:rsidR="00F82DE9" w:rsidRPr="00F82DE9" w:rsidRDefault="00F82DE9" w:rsidP="00F82DE9">
      <w:pPr>
        <w:numPr>
          <w:ilvl w:val="0"/>
          <w:numId w:val="59"/>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Lien of Claim</w:t>
      </w:r>
    </w:p>
    <w:p w14:paraId="066AE37F" w14:textId="77777777" w:rsidR="00F82DE9" w:rsidRPr="00F82DE9" w:rsidRDefault="00F82DE9" w:rsidP="00F82DE9">
      <w:pPr>
        <w:numPr>
          <w:ilvl w:val="0"/>
          <w:numId w:val="6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Once a claim is filed it shall constitute a </w:t>
      </w:r>
      <w:r w:rsidRPr="00F82DE9">
        <w:rPr>
          <w:rFonts w:ascii="Calibri" w:eastAsia="Calibri" w:hAnsi="Calibri" w:cs="Times New Roman"/>
          <w:sz w:val="22"/>
          <w:szCs w:val="22"/>
          <w:u w:val="single"/>
        </w:rPr>
        <w:t>lien</w:t>
      </w:r>
      <w:r w:rsidRPr="00F82DE9">
        <w:rPr>
          <w:rFonts w:ascii="Calibri" w:eastAsia="Calibri" w:hAnsi="Calibri" w:cs="Times New Roman"/>
          <w:sz w:val="22"/>
          <w:szCs w:val="22"/>
        </w:rPr>
        <w:t xml:space="preserve"> against the real property owned by the decedent in the county at his or her death for a period of </w:t>
      </w:r>
      <w:r w:rsidRPr="00F82DE9">
        <w:rPr>
          <w:rFonts w:ascii="Calibri" w:eastAsia="Calibri" w:hAnsi="Calibri" w:cs="Times New Roman"/>
          <w:sz w:val="22"/>
          <w:szCs w:val="22"/>
          <w:u w:val="single"/>
        </w:rPr>
        <w:t>12</w:t>
      </w:r>
      <w:r w:rsidRPr="00F82DE9">
        <w:rPr>
          <w:rFonts w:ascii="Calibri" w:eastAsia="Calibri" w:hAnsi="Calibri" w:cs="Times New Roman"/>
          <w:sz w:val="22"/>
          <w:szCs w:val="22"/>
        </w:rPr>
        <w:t xml:space="preserve"> years </w:t>
      </w:r>
      <w:r w:rsidRPr="00F82DE9">
        <w:rPr>
          <w:rFonts w:ascii="Calibri" w:eastAsia="Calibri" w:hAnsi="Calibri" w:cs="Times New Roman"/>
          <w:sz w:val="22"/>
          <w:szCs w:val="22"/>
          <w:u w:val="single"/>
        </w:rPr>
        <w:t>from the date of death</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However</w:t>
      </w:r>
      <w:r w:rsidRPr="00F82DE9">
        <w:rPr>
          <w:rFonts w:ascii="Calibri" w:eastAsia="Calibri" w:hAnsi="Calibri" w:cs="Times New Roman"/>
          <w:sz w:val="22"/>
          <w:szCs w:val="22"/>
        </w:rPr>
        <w:t xml:space="preserve">, if the foreign personal representative/executor is empowered by the </w:t>
      </w:r>
      <w:r w:rsidRPr="00F82DE9">
        <w:rPr>
          <w:rFonts w:ascii="Calibri" w:eastAsia="Calibri" w:hAnsi="Calibri" w:cs="Times New Roman"/>
          <w:sz w:val="22"/>
          <w:szCs w:val="22"/>
          <w:u w:val="single"/>
        </w:rPr>
        <w:t>will</w:t>
      </w:r>
      <w:r w:rsidRPr="00F82DE9">
        <w:rPr>
          <w:rFonts w:ascii="Calibri" w:eastAsia="Calibri" w:hAnsi="Calibri" w:cs="Times New Roman"/>
          <w:sz w:val="22"/>
          <w:szCs w:val="22"/>
        </w:rPr>
        <w:t xml:space="preserve"> to sell the property, which is usually the case, the claim shall constitute a lien against the </w:t>
      </w:r>
      <w:r w:rsidRPr="00F82DE9">
        <w:rPr>
          <w:rFonts w:ascii="Calibri" w:eastAsia="Calibri" w:hAnsi="Calibri" w:cs="Times New Roman"/>
          <w:sz w:val="22"/>
          <w:szCs w:val="22"/>
          <w:u w:val="single"/>
        </w:rPr>
        <w:t>net</w:t>
      </w:r>
      <w:r w:rsidRPr="00F82DE9">
        <w:rPr>
          <w:rFonts w:ascii="Calibri" w:eastAsia="Calibri" w:hAnsi="Calibri" w:cs="Times New Roman"/>
          <w:sz w:val="22"/>
          <w:szCs w:val="22"/>
        </w:rPr>
        <w:t xml:space="preserve"> </w:t>
      </w:r>
      <w:r w:rsidRPr="00F82DE9">
        <w:rPr>
          <w:rFonts w:ascii="Calibri" w:eastAsia="Calibri" w:hAnsi="Calibri" w:cs="Times New Roman"/>
          <w:sz w:val="22"/>
          <w:szCs w:val="22"/>
          <w:u w:val="single"/>
        </w:rPr>
        <w:t>proceeds</w:t>
      </w:r>
      <w:r w:rsidRPr="00F82DE9">
        <w:rPr>
          <w:rFonts w:ascii="Calibri" w:eastAsia="Calibri" w:hAnsi="Calibri" w:cs="Times New Roman"/>
          <w:sz w:val="22"/>
          <w:szCs w:val="22"/>
        </w:rPr>
        <w:t xml:space="preserve"> from the sale, rather than the lien attaching to the Maryland real property (Section 5-503(c) of the Estates and Trusts Article)</w:t>
      </w:r>
    </w:p>
    <w:p w14:paraId="4DA62D11" w14:textId="77777777" w:rsidR="00F82DE9" w:rsidRPr="00F82DE9" w:rsidRDefault="00F82DE9" w:rsidP="00F82DE9">
      <w:pPr>
        <w:numPr>
          <w:ilvl w:val="0"/>
          <w:numId w:val="62"/>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If the decedent dies intestate (without a will) ORNTIC holds the position that </w:t>
      </w:r>
      <w:r w:rsidRPr="00F82DE9">
        <w:rPr>
          <w:rFonts w:ascii="Calibri" w:eastAsia="Calibri" w:hAnsi="Calibri" w:cs="Times New Roman"/>
          <w:sz w:val="22"/>
          <w:szCs w:val="22"/>
          <w:u w:val="single"/>
        </w:rPr>
        <w:t>the lien follows the proceeds</w:t>
      </w:r>
      <w:r w:rsidRPr="00F82DE9">
        <w:rPr>
          <w:rFonts w:ascii="Calibri" w:eastAsia="Calibri" w:hAnsi="Calibri" w:cs="Times New Roman"/>
          <w:sz w:val="22"/>
          <w:szCs w:val="22"/>
        </w:rPr>
        <w:t xml:space="preserve"> and that the claims do not have to be paid off at settlement </w:t>
      </w:r>
      <w:proofErr w:type="gramStart"/>
      <w:r w:rsidRPr="00F82DE9">
        <w:rPr>
          <w:rFonts w:ascii="Calibri" w:eastAsia="Calibri" w:hAnsi="Calibri" w:cs="Times New Roman"/>
          <w:sz w:val="22"/>
          <w:szCs w:val="22"/>
        </w:rPr>
        <w:t>as long as</w:t>
      </w:r>
      <w:proofErr w:type="gramEnd"/>
      <w:r w:rsidRPr="00F82DE9">
        <w:rPr>
          <w:rFonts w:ascii="Calibri" w:eastAsia="Calibri" w:hAnsi="Calibri" w:cs="Times New Roman"/>
          <w:sz w:val="22"/>
          <w:szCs w:val="22"/>
        </w:rPr>
        <w:t xml:space="preserve"> we have a conveyance to a bona fide purchaser.</w:t>
      </w:r>
    </w:p>
    <w:p w14:paraId="7B1BCC46" w14:textId="77777777" w:rsidR="00F82DE9" w:rsidRPr="00F82DE9" w:rsidRDefault="00F82DE9" w:rsidP="00F82DE9">
      <w:pPr>
        <w:ind w:left="720"/>
        <w:rPr>
          <w:rFonts w:ascii="Calibri" w:eastAsia="Calibri" w:hAnsi="Calibri" w:cs="Times New Roman"/>
          <w:sz w:val="22"/>
          <w:szCs w:val="22"/>
        </w:rPr>
      </w:pPr>
    </w:p>
    <w:p w14:paraId="7478973B" w14:textId="77777777" w:rsidR="00F82DE9" w:rsidRPr="00F82DE9" w:rsidRDefault="00F82DE9" w:rsidP="00F82DE9">
      <w:pPr>
        <w:numPr>
          <w:ilvl w:val="0"/>
          <w:numId w:val="54"/>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Maryland Inheritance Tax and Maryland property subject to a Foreign Estate</w:t>
      </w:r>
    </w:p>
    <w:p w14:paraId="514EB1BC" w14:textId="77777777" w:rsidR="00F82DE9" w:rsidRPr="00F82DE9" w:rsidRDefault="00F82DE9" w:rsidP="00F82DE9">
      <w:pPr>
        <w:ind w:left="720"/>
        <w:rPr>
          <w:rFonts w:ascii="Calibri" w:eastAsia="Calibri" w:hAnsi="Calibri" w:cs="Times New Roman"/>
          <w:b/>
          <w:sz w:val="22"/>
          <w:szCs w:val="22"/>
        </w:rPr>
      </w:pPr>
    </w:p>
    <w:p w14:paraId="53056A83" w14:textId="72BE5985" w:rsidR="00F82DE9" w:rsidRPr="00F82DE9" w:rsidRDefault="00F82DE9" w:rsidP="00F82DE9">
      <w:pPr>
        <w:numPr>
          <w:ilvl w:val="0"/>
          <w:numId w:val="6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Under Section 5-505 of the Estates and Trusts Article, until the foreign personal representative pays the Maryland Inheritance Taxes and procures a Register of Wills receipt, the unpaid tax constitutes a lien against the subject Maryland Property for </w:t>
      </w:r>
      <w:r w:rsidR="00C40D1A" w:rsidRPr="00C40D1A">
        <w:rPr>
          <w:rFonts w:ascii="Calibri" w:eastAsia="Calibri" w:hAnsi="Calibri" w:cs="Times New Roman"/>
          <w:sz w:val="22"/>
          <w:szCs w:val="22"/>
          <w:u w:val="single"/>
        </w:rPr>
        <w:t>20</w:t>
      </w:r>
      <w:r w:rsidRPr="00F82DE9">
        <w:rPr>
          <w:rFonts w:ascii="Calibri" w:eastAsia="Calibri" w:hAnsi="Calibri" w:cs="Times New Roman"/>
          <w:sz w:val="22"/>
          <w:szCs w:val="22"/>
        </w:rPr>
        <w:t xml:space="preserve"> years from the Date of Distribution. Prior to settlement, the foreign personal representative/executor must supply information to the Orphan’s Court in Maryland to allow for the fixing of the Maryland Inheritance Tax.</w:t>
      </w:r>
    </w:p>
    <w:p w14:paraId="11D40F0A" w14:textId="77777777" w:rsidR="00F82DE9" w:rsidRPr="00F82DE9" w:rsidRDefault="00F82DE9" w:rsidP="00F82DE9">
      <w:pPr>
        <w:numPr>
          <w:ilvl w:val="0"/>
          <w:numId w:val="6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u w:val="single"/>
        </w:rPr>
        <w:t>No</w:t>
      </w:r>
      <w:r w:rsidRPr="00F82DE9">
        <w:rPr>
          <w:rFonts w:ascii="Calibri" w:eastAsia="Calibri" w:hAnsi="Calibri" w:cs="Times New Roman"/>
          <w:sz w:val="22"/>
          <w:szCs w:val="22"/>
        </w:rPr>
        <w:t xml:space="preserve"> “Notice of Lien” must be filed for the lien to exist</w:t>
      </w:r>
    </w:p>
    <w:p w14:paraId="0F51B83F" w14:textId="77777777" w:rsidR="00F82DE9" w:rsidRPr="00F82DE9" w:rsidRDefault="00F82DE9" w:rsidP="00F82DE9">
      <w:pPr>
        <w:numPr>
          <w:ilvl w:val="0"/>
          <w:numId w:val="64"/>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There are </w:t>
      </w:r>
      <w:r w:rsidRPr="00F82DE9">
        <w:rPr>
          <w:rFonts w:ascii="Calibri" w:eastAsia="Calibri" w:hAnsi="Calibri" w:cs="Times New Roman"/>
          <w:sz w:val="22"/>
          <w:szCs w:val="22"/>
          <w:u w:val="single"/>
        </w:rPr>
        <w:t>no</w:t>
      </w:r>
      <w:r w:rsidRPr="00F82DE9">
        <w:rPr>
          <w:rFonts w:ascii="Calibri" w:eastAsia="Calibri" w:hAnsi="Calibri" w:cs="Times New Roman"/>
          <w:sz w:val="22"/>
          <w:szCs w:val="22"/>
        </w:rPr>
        <w:t xml:space="preserve"> specific protective provisions for bona fide purchasers</w:t>
      </w:r>
    </w:p>
    <w:p w14:paraId="4D15F28C" w14:textId="77777777" w:rsidR="00F82DE9" w:rsidRPr="00F82DE9" w:rsidRDefault="00F82DE9" w:rsidP="00F82DE9">
      <w:pPr>
        <w:ind w:left="1080"/>
        <w:rPr>
          <w:rFonts w:ascii="Calibri" w:eastAsia="Calibri" w:hAnsi="Calibri" w:cs="Times New Roman"/>
          <w:sz w:val="22"/>
          <w:szCs w:val="22"/>
        </w:rPr>
      </w:pPr>
    </w:p>
    <w:p w14:paraId="5E06BE66" w14:textId="77777777" w:rsidR="00F82DE9" w:rsidRPr="00F82DE9" w:rsidRDefault="00F82DE9" w:rsidP="00F82DE9">
      <w:pPr>
        <w:numPr>
          <w:ilvl w:val="0"/>
          <w:numId w:val="63"/>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 xml:space="preserve">In any case where a decedent, owning Maryland property, is subject to an out-of-state estate proceeding (a foreign estate) ORNTIC requires its title agents to </w:t>
      </w:r>
      <w:r w:rsidRPr="00F82DE9">
        <w:rPr>
          <w:rFonts w:ascii="Calibri" w:eastAsia="Calibri" w:hAnsi="Calibri" w:cs="Times New Roman"/>
          <w:sz w:val="22"/>
          <w:szCs w:val="22"/>
          <w:u w:val="single"/>
        </w:rPr>
        <w:t>collect and pay the Maryland Inheritance Taxes at settlement</w:t>
      </w:r>
      <w:r w:rsidRPr="00F82DE9">
        <w:rPr>
          <w:rFonts w:ascii="Calibri" w:eastAsia="Calibri" w:hAnsi="Calibri" w:cs="Times New Roman"/>
          <w:sz w:val="22"/>
          <w:szCs w:val="22"/>
        </w:rPr>
        <w:t xml:space="preserve"> or, prior to settlement, confirm that the taxes have been paid.</w:t>
      </w:r>
    </w:p>
    <w:p w14:paraId="43C32B37" w14:textId="77777777" w:rsidR="00F82DE9" w:rsidRPr="00F82DE9" w:rsidRDefault="00F82DE9" w:rsidP="00F82DE9">
      <w:pPr>
        <w:ind w:left="720"/>
        <w:rPr>
          <w:rFonts w:ascii="Calibri" w:eastAsia="Calibri" w:hAnsi="Calibri" w:cs="Times New Roman"/>
          <w:sz w:val="22"/>
          <w:szCs w:val="22"/>
        </w:rPr>
      </w:pPr>
    </w:p>
    <w:p w14:paraId="315DC6DB" w14:textId="77777777" w:rsidR="00F82DE9" w:rsidRPr="00F82DE9" w:rsidRDefault="00F82DE9" w:rsidP="00F82DE9">
      <w:pPr>
        <w:numPr>
          <w:ilvl w:val="0"/>
          <w:numId w:val="54"/>
        </w:numPr>
        <w:spacing w:after="160" w:line="259" w:lineRule="auto"/>
        <w:contextualSpacing/>
        <w:rPr>
          <w:rFonts w:ascii="Calibri" w:eastAsia="Calibri" w:hAnsi="Calibri" w:cs="Times New Roman"/>
          <w:b/>
          <w:sz w:val="22"/>
          <w:szCs w:val="22"/>
        </w:rPr>
      </w:pPr>
      <w:r w:rsidRPr="00F82DE9">
        <w:rPr>
          <w:rFonts w:ascii="Calibri" w:eastAsia="Calibri" w:hAnsi="Calibri" w:cs="Times New Roman"/>
          <w:b/>
          <w:sz w:val="22"/>
          <w:szCs w:val="22"/>
        </w:rPr>
        <w:t>Federal Estate Tax and Maryland property subject to a Foreign Estate</w:t>
      </w:r>
    </w:p>
    <w:p w14:paraId="75A28C48" w14:textId="77777777" w:rsidR="00F82DE9" w:rsidRPr="00F82DE9" w:rsidRDefault="00F82DE9" w:rsidP="00F82DE9">
      <w:pPr>
        <w:ind w:left="1080"/>
        <w:rPr>
          <w:rFonts w:ascii="Calibri" w:eastAsia="Calibri" w:hAnsi="Calibri" w:cs="Times New Roman"/>
          <w:sz w:val="22"/>
          <w:szCs w:val="22"/>
        </w:rPr>
      </w:pPr>
    </w:p>
    <w:p w14:paraId="77ECA65B" w14:textId="77777777" w:rsidR="00F82DE9" w:rsidRPr="00F82DE9" w:rsidRDefault="00F82DE9" w:rsidP="00F82DE9">
      <w:pPr>
        <w:numPr>
          <w:ilvl w:val="0"/>
          <w:numId w:val="65"/>
        </w:numPr>
        <w:spacing w:after="160" w:line="259" w:lineRule="auto"/>
        <w:contextualSpacing/>
        <w:rPr>
          <w:rFonts w:ascii="Calibri" w:eastAsia="Calibri" w:hAnsi="Calibri" w:cs="Times New Roman"/>
          <w:sz w:val="22"/>
          <w:szCs w:val="22"/>
        </w:rPr>
      </w:pPr>
      <w:r w:rsidRPr="00F82DE9">
        <w:rPr>
          <w:rFonts w:ascii="Calibri" w:eastAsia="Calibri" w:hAnsi="Calibri" w:cs="Times New Roman"/>
          <w:sz w:val="22"/>
          <w:szCs w:val="22"/>
        </w:rPr>
        <w:t>In connection with Federal Estate Tax and Maryland property subject to a foreign estate, the automatic Federal Estate Tax Lien (if value of all decedent’s assets exceeds the “unified credit”) attaches as a lien against the decedent’s probated property and must be paid off at settlement. The title agent’s treatment of Federal Estate Tax is the same whether we have a domestic Maryland estate or a foreign estate.</w:t>
      </w:r>
    </w:p>
    <w:p w14:paraId="01094F38" w14:textId="06990D88" w:rsidR="008029AF" w:rsidRPr="008230A7" w:rsidRDefault="008029AF" w:rsidP="008029AF">
      <w:pPr>
        <w:spacing w:line="288" w:lineRule="auto"/>
        <w:rPr>
          <w:rFonts w:ascii="Arial" w:hAnsi="Arial" w:cs="Arial"/>
        </w:rPr>
      </w:pPr>
    </w:p>
    <w:sectPr w:rsidR="008029AF" w:rsidRPr="008230A7" w:rsidSect="0006418D">
      <w:head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7A3D1" w14:textId="77777777" w:rsidR="00900A57" w:rsidRDefault="00900A57" w:rsidP="00D17026">
      <w:r>
        <w:separator/>
      </w:r>
    </w:p>
  </w:endnote>
  <w:endnote w:type="continuationSeparator" w:id="0">
    <w:p w14:paraId="2D60CBDB" w14:textId="77777777" w:rsidR="00900A57" w:rsidRDefault="00900A57" w:rsidP="00D1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0A53" w14:textId="725278BC" w:rsidR="00C53D42" w:rsidRPr="007065DF" w:rsidRDefault="007065DF" w:rsidP="007065DF">
    <w:pPr>
      <w:pStyle w:val="Footer"/>
      <w:rPr>
        <w:rFonts w:ascii="Arial Narrow" w:hAnsi="Arial Narrow"/>
        <w:sz w:val="20"/>
        <w:szCs w:val="20"/>
      </w:rPr>
    </w:pPr>
    <w:r w:rsidRPr="007065DF">
      <w:rPr>
        <w:rFonts w:ascii="Arial Narrow" w:hAnsi="Arial Narrow"/>
        <w:sz w:val="20"/>
        <w:szCs w:val="20"/>
      </w:rPr>
      <w:t xml:space="preserve">Page </w:t>
    </w:r>
    <w:r w:rsidRPr="007065DF">
      <w:rPr>
        <w:rFonts w:ascii="Arial Narrow" w:hAnsi="Arial Narrow"/>
        <w:b/>
        <w:bCs/>
        <w:sz w:val="20"/>
        <w:szCs w:val="20"/>
      </w:rPr>
      <w:fldChar w:fldCharType="begin"/>
    </w:r>
    <w:r w:rsidRPr="007065DF">
      <w:rPr>
        <w:rFonts w:ascii="Arial Narrow" w:hAnsi="Arial Narrow"/>
        <w:b/>
        <w:bCs/>
        <w:sz w:val="20"/>
        <w:szCs w:val="20"/>
      </w:rPr>
      <w:instrText xml:space="preserve"> PAGE  \* Arabic  \* MERGEFORMAT </w:instrText>
    </w:r>
    <w:r w:rsidRPr="007065DF">
      <w:rPr>
        <w:rFonts w:ascii="Arial Narrow" w:hAnsi="Arial Narrow"/>
        <w:b/>
        <w:bCs/>
        <w:sz w:val="20"/>
        <w:szCs w:val="20"/>
      </w:rPr>
      <w:fldChar w:fldCharType="separate"/>
    </w:r>
    <w:r w:rsidRPr="007065DF">
      <w:rPr>
        <w:rFonts w:ascii="Arial Narrow" w:hAnsi="Arial Narrow"/>
        <w:b/>
        <w:bCs/>
        <w:noProof/>
        <w:sz w:val="20"/>
        <w:szCs w:val="20"/>
      </w:rPr>
      <w:t>1</w:t>
    </w:r>
    <w:r w:rsidRPr="007065DF">
      <w:rPr>
        <w:rFonts w:ascii="Arial Narrow" w:hAnsi="Arial Narrow"/>
        <w:b/>
        <w:bCs/>
        <w:sz w:val="20"/>
        <w:szCs w:val="20"/>
      </w:rPr>
      <w:fldChar w:fldCharType="end"/>
    </w:r>
    <w:r w:rsidRPr="007065DF">
      <w:rPr>
        <w:rFonts w:ascii="Arial Narrow" w:hAnsi="Arial Narrow"/>
        <w:sz w:val="20"/>
        <w:szCs w:val="20"/>
      </w:rPr>
      <w:t xml:space="preserve"> of </w:t>
    </w:r>
    <w:r w:rsidRPr="007065DF">
      <w:rPr>
        <w:rFonts w:ascii="Arial Narrow" w:hAnsi="Arial Narrow"/>
        <w:b/>
        <w:bCs/>
        <w:sz w:val="20"/>
        <w:szCs w:val="20"/>
      </w:rPr>
      <w:fldChar w:fldCharType="begin"/>
    </w:r>
    <w:r w:rsidRPr="007065DF">
      <w:rPr>
        <w:rFonts w:ascii="Arial Narrow" w:hAnsi="Arial Narrow"/>
        <w:b/>
        <w:bCs/>
        <w:sz w:val="20"/>
        <w:szCs w:val="20"/>
      </w:rPr>
      <w:instrText xml:space="preserve"> NUMPAGES  \* Arabic  \* MERGEFORMAT </w:instrText>
    </w:r>
    <w:r w:rsidRPr="007065DF">
      <w:rPr>
        <w:rFonts w:ascii="Arial Narrow" w:hAnsi="Arial Narrow"/>
        <w:b/>
        <w:bCs/>
        <w:sz w:val="20"/>
        <w:szCs w:val="20"/>
      </w:rPr>
      <w:fldChar w:fldCharType="separate"/>
    </w:r>
    <w:r w:rsidRPr="007065DF">
      <w:rPr>
        <w:rFonts w:ascii="Arial Narrow" w:hAnsi="Arial Narrow"/>
        <w:b/>
        <w:bCs/>
        <w:noProof/>
        <w:sz w:val="20"/>
        <w:szCs w:val="20"/>
      </w:rPr>
      <w:t>2</w:t>
    </w:r>
    <w:r w:rsidRPr="007065DF">
      <w:rPr>
        <w:rFonts w:ascii="Arial Narrow" w:hAnsi="Arial Narrow"/>
        <w:b/>
        <w:bCs/>
        <w:sz w:val="20"/>
        <w:szCs w:val="20"/>
      </w:rPr>
      <w:fldChar w:fldCharType="end"/>
    </w:r>
    <w:r w:rsidR="006E0F94" w:rsidRPr="007065DF">
      <w:rPr>
        <w:rFonts w:ascii="Arial Narrow" w:hAnsi="Arial Narrow"/>
        <w:noProof/>
        <w:sz w:val="20"/>
        <w:szCs w:val="20"/>
      </w:rPr>
      <w:drawing>
        <wp:anchor distT="0" distB="0" distL="114300" distR="114300" simplePos="0" relativeHeight="251663360" behindDoc="0" locked="0" layoutInCell="1" allowOverlap="1" wp14:anchorId="479902ED" wp14:editId="6D73C9D1">
          <wp:simplePos x="0" y="0"/>
          <wp:positionH relativeFrom="column">
            <wp:posOffset>3611370</wp:posOffset>
          </wp:positionH>
          <wp:positionV relativeFrom="paragraph">
            <wp:posOffset>-164850</wp:posOffset>
          </wp:positionV>
          <wp:extent cx="2395138" cy="3088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d Republic Branding\ORI Brand Templates\BrandSignoff_Logos_JPGs_PNG\BrandSignoff_RGB.jpg"/>
                  <pic:cNvPicPr>
                    <a:picLocks noChangeAspect="1" noChangeArrowheads="1"/>
                  </pic:cNvPicPr>
                </pic:nvPicPr>
                <pic:blipFill>
                  <a:blip r:embed="rId1"/>
                  <a:stretch>
                    <a:fillRect/>
                  </a:stretch>
                </pic:blipFill>
                <pic:spPr bwMode="auto">
                  <a:xfrm>
                    <a:off x="0" y="0"/>
                    <a:ext cx="2395138" cy="30884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54A4" w14:textId="77777777" w:rsidR="00900A57" w:rsidRDefault="00900A57" w:rsidP="00D17026">
      <w:r>
        <w:separator/>
      </w:r>
    </w:p>
  </w:footnote>
  <w:footnote w:type="continuationSeparator" w:id="0">
    <w:p w14:paraId="2032C1BA" w14:textId="77777777" w:rsidR="00900A57" w:rsidRDefault="00900A57" w:rsidP="00D1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09DE" w14:textId="278BD9ED" w:rsidR="008029AF" w:rsidRPr="00F82DE9" w:rsidRDefault="006E0F94" w:rsidP="000C22F7">
    <w:pPr>
      <w:rPr>
        <w:rFonts w:ascii="Times New Roman" w:hAnsi="Times New Roman"/>
        <w:color w:val="000000" w:themeColor="text1"/>
        <w:sz w:val="16"/>
        <w:szCs w:val="16"/>
      </w:rPr>
    </w:pPr>
    <w:r w:rsidRPr="00F82DE9">
      <w:rPr>
        <w:rFonts w:ascii="Times New Roman" w:hAnsi="Times New Roman"/>
        <w:noProof/>
        <w:color w:val="003087"/>
        <w:sz w:val="16"/>
        <w:szCs w:val="16"/>
      </w:rPr>
      <w:drawing>
        <wp:anchor distT="0" distB="0" distL="114300" distR="114300" simplePos="0" relativeHeight="251662336" behindDoc="0" locked="0" layoutInCell="1" allowOverlap="1" wp14:anchorId="70CE0717" wp14:editId="607656D2">
          <wp:simplePos x="0" y="0"/>
          <wp:positionH relativeFrom="column">
            <wp:posOffset>-712992</wp:posOffset>
          </wp:positionH>
          <wp:positionV relativeFrom="paragraph">
            <wp:posOffset>52212</wp:posOffset>
          </wp:positionV>
          <wp:extent cx="6784848" cy="5577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d Republic Branding\ORI Brand Templates\PMA\PMA_Logos_JPGs_PNGs_Market\PMA_RGB_LongLine_Market.jpg"/>
                  <pic:cNvPicPr>
                    <a:picLocks noChangeAspect="1" noChangeArrowheads="1"/>
                  </pic:cNvPicPr>
                </pic:nvPicPr>
                <pic:blipFill>
                  <a:blip r:embed="rId1"/>
                  <a:stretch>
                    <a:fillRect/>
                  </a:stretch>
                </pic:blipFill>
                <pic:spPr bwMode="auto">
                  <a:xfrm>
                    <a:off x="0" y="0"/>
                    <a:ext cx="6784848" cy="557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F783" w14:textId="01F416F0" w:rsidR="00F82DE9" w:rsidRPr="00F82DE9" w:rsidRDefault="00F82DE9" w:rsidP="00F8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7D95"/>
    <w:multiLevelType w:val="hybridMultilevel"/>
    <w:tmpl w:val="D44E69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B56E3"/>
    <w:multiLevelType w:val="hybridMultilevel"/>
    <w:tmpl w:val="146CB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53CF8"/>
    <w:multiLevelType w:val="hybridMultilevel"/>
    <w:tmpl w:val="58BEF1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E127C"/>
    <w:multiLevelType w:val="hybridMultilevel"/>
    <w:tmpl w:val="D44E69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B3525B"/>
    <w:multiLevelType w:val="hybridMultilevel"/>
    <w:tmpl w:val="176044A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CA4A2F"/>
    <w:multiLevelType w:val="hybridMultilevel"/>
    <w:tmpl w:val="D2B2B7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0E1F3A"/>
    <w:multiLevelType w:val="hybridMultilevel"/>
    <w:tmpl w:val="A49806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234401"/>
    <w:multiLevelType w:val="hybridMultilevel"/>
    <w:tmpl w:val="1FA6A0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026CF2"/>
    <w:multiLevelType w:val="hybridMultilevel"/>
    <w:tmpl w:val="8968CA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2A1A25"/>
    <w:multiLevelType w:val="hybridMultilevel"/>
    <w:tmpl w:val="6FE657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DD4F32"/>
    <w:multiLevelType w:val="hybridMultilevel"/>
    <w:tmpl w:val="40C096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B29B5"/>
    <w:multiLevelType w:val="hybridMultilevel"/>
    <w:tmpl w:val="63FAEB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6D7EC2"/>
    <w:multiLevelType w:val="hybridMultilevel"/>
    <w:tmpl w:val="176044A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473D89"/>
    <w:multiLevelType w:val="hybridMultilevel"/>
    <w:tmpl w:val="F7E2613C"/>
    <w:lvl w:ilvl="0" w:tplc="3F1EC38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3012D"/>
    <w:multiLevelType w:val="hybridMultilevel"/>
    <w:tmpl w:val="666CD7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F13594"/>
    <w:multiLevelType w:val="hybridMultilevel"/>
    <w:tmpl w:val="559251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970BF4"/>
    <w:multiLevelType w:val="hybridMultilevel"/>
    <w:tmpl w:val="0CA2DE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1F377B"/>
    <w:multiLevelType w:val="hybridMultilevel"/>
    <w:tmpl w:val="F47011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DA29D7"/>
    <w:multiLevelType w:val="hybridMultilevel"/>
    <w:tmpl w:val="A3546C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5B5E00"/>
    <w:multiLevelType w:val="hybridMultilevel"/>
    <w:tmpl w:val="C8D636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9438BA"/>
    <w:multiLevelType w:val="hybridMultilevel"/>
    <w:tmpl w:val="1084FAE0"/>
    <w:lvl w:ilvl="0" w:tplc="001CA342">
      <w:start w:val="1"/>
      <w:numFmt w:val="bullet"/>
      <w:lvlText w:val="•"/>
      <w:lvlJc w:val="left"/>
      <w:pPr>
        <w:tabs>
          <w:tab w:val="num" w:pos="720"/>
        </w:tabs>
        <w:ind w:left="720" w:hanging="360"/>
      </w:pPr>
      <w:rPr>
        <w:rFonts w:ascii="Arial" w:hAnsi="Arial" w:hint="default"/>
      </w:rPr>
    </w:lvl>
    <w:lvl w:ilvl="1" w:tplc="9EA25DF8" w:tentative="1">
      <w:start w:val="1"/>
      <w:numFmt w:val="bullet"/>
      <w:lvlText w:val="•"/>
      <w:lvlJc w:val="left"/>
      <w:pPr>
        <w:tabs>
          <w:tab w:val="num" w:pos="1440"/>
        </w:tabs>
        <w:ind w:left="1440" w:hanging="360"/>
      </w:pPr>
      <w:rPr>
        <w:rFonts w:ascii="Arial" w:hAnsi="Arial" w:hint="default"/>
      </w:rPr>
    </w:lvl>
    <w:lvl w:ilvl="2" w:tplc="54CA54A0" w:tentative="1">
      <w:start w:val="1"/>
      <w:numFmt w:val="bullet"/>
      <w:lvlText w:val="•"/>
      <w:lvlJc w:val="left"/>
      <w:pPr>
        <w:tabs>
          <w:tab w:val="num" w:pos="2160"/>
        </w:tabs>
        <w:ind w:left="2160" w:hanging="360"/>
      </w:pPr>
      <w:rPr>
        <w:rFonts w:ascii="Arial" w:hAnsi="Arial" w:hint="default"/>
      </w:rPr>
    </w:lvl>
    <w:lvl w:ilvl="3" w:tplc="158E33E4" w:tentative="1">
      <w:start w:val="1"/>
      <w:numFmt w:val="bullet"/>
      <w:lvlText w:val="•"/>
      <w:lvlJc w:val="left"/>
      <w:pPr>
        <w:tabs>
          <w:tab w:val="num" w:pos="2880"/>
        </w:tabs>
        <w:ind w:left="2880" w:hanging="360"/>
      </w:pPr>
      <w:rPr>
        <w:rFonts w:ascii="Arial" w:hAnsi="Arial" w:hint="default"/>
      </w:rPr>
    </w:lvl>
    <w:lvl w:ilvl="4" w:tplc="395615B6" w:tentative="1">
      <w:start w:val="1"/>
      <w:numFmt w:val="bullet"/>
      <w:lvlText w:val="•"/>
      <w:lvlJc w:val="left"/>
      <w:pPr>
        <w:tabs>
          <w:tab w:val="num" w:pos="3600"/>
        </w:tabs>
        <w:ind w:left="3600" w:hanging="360"/>
      </w:pPr>
      <w:rPr>
        <w:rFonts w:ascii="Arial" w:hAnsi="Arial" w:hint="default"/>
      </w:rPr>
    </w:lvl>
    <w:lvl w:ilvl="5" w:tplc="31420934" w:tentative="1">
      <w:start w:val="1"/>
      <w:numFmt w:val="bullet"/>
      <w:lvlText w:val="•"/>
      <w:lvlJc w:val="left"/>
      <w:pPr>
        <w:tabs>
          <w:tab w:val="num" w:pos="4320"/>
        </w:tabs>
        <w:ind w:left="4320" w:hanging="360"/>
      </w:pPr>
      <w:rPr>
        <w:rFonts w:ascii="Arial" w:hAnsi="Arial" w:hint="default"/>
      </w:rPr>
    </w:lvl>
    <w:lvl w:ilvl="6" w:tplc="6F962C38" w:tentative="1">
      <w:start w:val="1"/>
      <w:numFmt w:val="bullet"/>
      <w:lvlText w:val="•"/>
      <w:lvlJc w:val="left"/>
      <w:pPr>
        <w:tabs>
          <w:tab w:val="num" w:pos="5040"/>
        </w:tabs>
        <w:ind w:left="5040" w:hanging="360"/>
      </w:pPr>
      <w:rPr>
        <w:rFonts w:ascii="Arial" w:hAnsi="Arial" w:hint="default"/>
      </w:rPr>
    </w:lvl>
    <w:lvl w:ilvl="7" w:tplc="ECBC7DFC" w:tentative="1">
      <w:start w:val="1"/>
      <w:numFmt w:val="bullet"/>
      <w:lvlText w:val="•"/>
      <w:lvlJc w:val="left"/>
      <w:pPr>
        <w:tabs>
          <w:tab w:val="num" w:pos="5760"/>
        </w:tabs>
        <w:ind w:left="5760" w:hanging="360"/>
      </w:pPr>
      <w:rPr>
        <w:rFonts w:ascii="Arial" w:hAnsi="Arial" w:hint="default"/>
      </w:rPr>
    </w:lvl>
    <w:lvl w:ilvl="8" w:tplc="C02E4A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C63903"/>
    <w:multiLevelType w:val="hybridMultilevel"/>
    <w:tmpl w:val="92EC15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622568"/>
    <w:multiLevelType w:val="hybridMultilevel"/>
    <w:tmpl w:val="86AC0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916E9D"/>
    <w:multiLevelType w:val="hybridMultilevel"/>
    <w:tmpl w:val="7F6600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A926260"/>
    <w:multiLevelType w:val="hybridMultilevel"/>
    <w:tmpl w:val="51C20C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BC41E3"/>
    <w:multiLevelType w:val="hybridMultilevel"/>
    <w:tmpl w:val="B63239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E98448F"/>
    <w:multiLevelType w:val="hybridMultilevel"/>
    <w:tmpl w:val="44B097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44C7791"/>
    <w:multiLevelType w:val="hybridMultilevel"/>
    <w:tmpl w:val="51C20C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2469DF"/>
    <w:multiLevelType w:val="hybridMultilevel"/>
    <w:tmpl w:val="EBA6E0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8845E5B"/>
    <w:multiLevelType w:val="hybridMultilevel"/>
    <w:tmpl w:val="EBA6E0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8A717F3"/>
    <w:multiLevelType w:val="hybridMultilevel"/>
    <w:tmpl w:val="A1BAE7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C21FA1"/>
    <w:multiLevelType w:val="hybridMultilevel"/>
    <w:tmpl w:val="B178D2C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A661E0E"/>
    <w:multiLevelType w:val="hybridMultilevel"/>
    <w:tmpl w:val="4FE80C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D6763FE"/>
    <w:multiLevelType w:val="hybridMultilevel"/>
    <w:tmpl w:val="01B84B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3B11C22"/>
    <w:multiLevelType w:val="hybridMultilevel"/>
    <w:tmpl w:val="9C529C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4250420"/>
    <w:multiLevelType w:val="hybridMultilevel"/>
    <w:tmpl w:val="D98680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80414FF"/>
    <w:multiLevelType w:val="hybridMultilevel"/>
    <w:tmpl w:val="B2BE95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977136A"/>
    <w:multiLevelType w:val="hybridMultilevel"/>
    <w:tmpl w:val="8BF472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5D2892"/>
    <w:multiLevelType w:val="hybridMultilevel"/>
    <w:tmpl w:val="3B1C14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B4860DC"/>
    <w:multiLevelType w:val="hybridMultilevel"/>
    <w:tmpl w:val="A3546C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E706E8B"/>
    <w:multiLevelType w:val="hybridMultilevel"/>
    <w:tmpl w:val="B2BE95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1043B75"/>
    <w:multiLevelType w:val="hybridMultilevel"/>
    <w:tmpl w:val="6DF496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1880452"/>
    <w:multiLevelType w:val="hybridMultilevel"/>
    <w:tmpl w:val="A49806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315630"/>
    <w:multiLevelType w:val="hybridMultilevel"/>
    <w:tmpl w:val="9C529C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2BA6CAF"/>
    <w:multiLevelType w:val="hybridMultilevel"/>
    <w:tmpl w:val="DE68ED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F13D92"/>
    <w:multiLevelType w:val="hybridMultilevel"/>
    <w:tmpl w:val="8BF472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2FA1938"/>
    <w:multiLevelType w:val="hybridMultilevel"/>
    <w:tmpl w:val="702241B0"/>
    <w:lvl w:ilvl="0" w:tplc="75801C2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AE75EE"/>
    <w:multiLevelType w:val="hybridMultilevel"/>
    <w:tmpl w:val="F98050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5BE2DF2"/>
    <w:multiLevelType w:val="hybridMultilevel"/>
    <w:tmpl w:val="AF98CCE8"/>
    <w:lvl w:ilvl="0" w:tplc="D472C492">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9443A9"/>
    <w:multiLevelType w:val="hybridMultilevel"/>
    <w:tmpl w:val="C526DE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7A76F01"/>
    <w:multiLevelType w:val="hybridMultilevel"/>
    <w:tmpl w:val="7C86BFAC"/>
    <w:lvl w:ilvl="0" w:tplc="9AF647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E56DEC"/>
    <w:multiLevelType w:val="hybridMultilevel"/>
    <w:tmpl w:val="686447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9EA1DDE"/>
    <w:multiLevelType w:val="hybridMultilevel"/>
    <w:tmpl w:val="C11837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C847222"/>
    <w:multiLevelType w:val="hybridMultilevel"/>
    <w:tmpl w:val="C096E1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ED7278B"/>
    <w:multiLevelType w:val="hybridMultilevel"/>
    <w:tmpl w:val="777077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F615002"/>
    <w:multiLevelType w:val="hybridMultilevel"/>
    <w:tmpl w:val="5BCC0C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F7147D0"/>
    <w:multiLevelType w:val="hybridMultilevel"/>
    <w:tmpl w:val="40C096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1746D32"/>
    <w:multiLevelType w:val="hybridMultilevel"/>
    <w:tmpl w:val="0730FA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2B50353"/>
    <w:multiLevelType w:val="hybridMultilevel"/>
    <w:tmpl w:val="7F4E6B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4EA3623"/>
    <w:multiLevelType w:val="hybridMultilevel"/>
    <w:tmpl w:val="4F447C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2002AD0"/>
    <w:multiLevelType w:val="hybridMultilevel"/>
    <w:tmpl w:val="5B38E3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4D14B9A"/>
    <w:multiLevelType w:val="hybridMultilevel"/>
    <w:tmpl w:val="44B097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8F06056"/>
    <w:multiLevelType w:val="hybridMultilevel"/>
    <w:tmpl w:val="0CF42F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B1361D3"/>
    <w:multiLevelType w:val="hybridMultilevel"/>
    <w:tmpl w:val="146CB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E320FBB"/>
    <w:multiLevelType w:val="hybridMultilevel"/>
    <w:tmpl w:val="61C667FA"/>
    <w:lvl w:ilvl="0" w:tplc="7E24C672">
      <w:start w:val="1"/>
      <w:numFmt w:val="bullet"/>
      <w:lvlText w:val="•"/>
      <w:lvlJc w:val="left"/>
      <w:pPr>
        <w:tabs>
          <w:tab w:val="num" w:pos="720"/>
        </w:tabs>
        <w:ind w:left="720" w:hanging="360"/>
      </w:pPr>
      <w:rPr>
        <w:rFonts w:ascii="Arial" w:hAnsi="Arial" w:hint="default"/>
      </w:rPr>
    </w:lvl>
    <w:lvl w:ilvl="1" w:tplc="92AAEA44" w:tentative="1">
      <w:start w:val="1"/>
      <w:numFmt w:val="bullet"/>
      <w:lvlText w:val="•"/>
      <w:lvlJc w:val="left"/>
      <w:pPr>
        <w:tabs>
          <w:tab w:val="num" w:pos="1440"/>
        </w:tabs>
        <w:ind w:left="1440" w:hanging="360"/>
      </w:pPr>
      <w:rPr>
        <w:rFonts w:ascii="Arial" w:hAnsi="Arial" w:hint="default"/>
      </w:rPr>
    </w:lvl>
    <w:lvl w:ilvl="2" w:tplc="EA8CAA08" w:tentative="1">
      <w:start w:val="1"/>
      <w:numFmt w:val="bullet"/>
      <w:lvlText w:val="•"/>
      <w:lvlJc w:val="left"/>
      <w:pPr>
        <w:tabs>
          <w:tab w:val="num" w:pos="2160"/>
        </w:tabs>
        <w:ind w:left="2160" w:hanging="360"/>
      </w:pPr>
      <w:rPr>
        <w:rFonts w:ascii="Arial" w:hAnsi="Arial" w:hint="default"/>
      </w:rPr>
    </w:lvl>
    <w:lvl w:ilvl="3" w:tplc="A43E4D7E" w:tentative="1">
      <w:start w:val="1"/>
      <w:numFmt w:val="bullet"/>
      <w:lvlText w:val="•"/>
      <w:lvlJc w:val="left"/>
      <w:pPr>
        <w:tabs>
          <w:tab w:val="num" w:pos="2880"/>
        </w:tabs>
        <w:ind w:left="2880" w:hanging="360"/>
      </w:pPr>
      <w:rPr>
        <w:rFonts w:ascii="Arial" w:hAnsi="Arial" w:hint="default"/>
      </w:rPr>
    </w:lvl>
    <w:lvl w:ilvl="4" w:tplc="3E000532" w:tentative="1">
      <w:start w:val="1"/>
      <w:numFmt w:val="bullet"/>
      <w:lvlText w:val="•"/>
      <w:lvlJc w:val="left"/>
      <w:pPr>
        <w:tabs>
          <w:tab w:val="num" w:pos="3600"/>
        </w:tabs>
        <w:ind w:left="3600" w:hanging="360"/>
      </w:pPr>
      <w:rPr>
        <w:rFonts w:ascii="Arial" w:hAnsi="Arial" w:hint="default"/>
      </w:rPr>
    </w:lvl>
    <w:lvl w:ilvl="5" w:tplc="B4CC663C" w:tentative="1">
      <w:start w:val="1"/>
      <w:numFmt w:val="bullet"/>
      <w:lvlText w:val="•"/>
      <w:lvlJc w:val="left"/>
      <w:pPr>
        <w:tabs>
          <w:tab w:val="num" w:pos="4320"/>
        </w:tabs>
        <w:ind w:left="4320" w:hanging="360"/>
      </w:pPr>
      <w:rPr>
        <w:rFonts w:ascii="Arial" w:hAnsi="Arial" w:hint="default"/>
      </w:rPr>
    </w:lvl>
    <w:lvl w:ilvl="6" w:tplc="9670D982" w:tentative="1">
      <w:start w:val="1"/>
      <w:numFmt w:val="bullet"/>
      <w:lvlText w:val="•"/>
      <w:lvlJc w:val="left"/>
      <w:pPr>
        <w:tabs>
          <w:tab w:val="num" w:pos="5040"/>
        </w:tabs>
        <w:ind w:left="5040" w:hanging="360"/>
      </w:pPr>
      <w:rPr>
        <w:rFonts w:ascii="Arial" w:hAnsi="Arial" w:hint="default"/>
      </w:rPr>
    </w:lvl>
    <w:lvl w:ilvl="7" w:tplc="056C7AB6" w:tentative="1">
      <w:start w:val="1"/>
      <w:numFmt w:val="bullet"/>
      <w:lvlText w:val="•"/>
      <w:lvlJc w:val="left"/>
      <w:pPr>
        <w:tabs>
          <w:tab w:val="num" w:pos="5760"/>
        </w:tabs>
        <w:ind w:left="5760" w:hanging="360"/>
      </w:pPr>
      <w:rPr>
        <w:rFonts w:ascii="Arial" w:hAnsi="Arial" w:hint="default"/>
      </w:rPr>
    </w:lvl>
    <w:lvl w:ilvl="8" w:tplc="3E0E302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F0E12D9"/>
    <w:multiLevelType w:val="hybridMultilevel"/>
    <w:tmpl w:val="6F0A46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F91202E"/>
    <w:multiLevelType w:val="hybridMultilevel"/>
    <w:tmpl w:val="5BCC0C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0"/>
  </w:num>
  <w:num w:numId="2">
    <w:abstractNumId w:val="24"/>
  </w:num>
  <w:num w:numId="3">
    <w:abstractNumId w:val="49"/>
  </w:num>
  <w:num w:numId="4">
    <w:abstractNumId w:val="5"/>
  </w:num>
  <w:num w:numId="5">
    <w:abstractNumId w:val="7"/>
  </w:num>
  <w:num w:numId="6">
    <w:abstractNumId w:val="18"/>
  </w:num>
  <w:num w:numId="7">
    <w:abstractNumId w:val="54"/>
  </w:num>
  <w:num w:numId="8">
    <w:abstractNumId w:val="31"/>
  </w:num>
  <w:num w:numId="9">
    <w:abstractNumId w:val="22"/>
  </w:num>
  <w:num w:numId="10">
    <w:abstractNumId w:val="39"/>
  </w:num>
  <w:num w:numId="11">
    <w:abstractNumId w:val="14"/>
  </w:num>
  <w:num w:numId="12">
    <w:abstractNumId w:val="33"/>
  </w:num>
  <w:num w:numId="13">
    <w:abstractNumId w:val="32"/>
  </w:num>
  <w:num w:numId="14">
    <w:abstractNumId w:val="26"/>
  </w:num>
  <w:num w:numId="15">
    <w:abstractNumId w:val="61"/>
  </w:num>
  <w:num w:numId="16">
    <w:abstractNumId w:val="9"/>
  </w:num>
  <w:num w:numId="17">
    <w:abstractNumId w:val="30"/>
  </w:num>
  <w:num w:numId="18">
    <w:abstractNumId w:val="66"/>
  </w:num>
  <w:num w:numId="19">
    <w:abstractNumId w:val="55"/>
  </w:num>
  <w:num w:numId="20">
    <w:abstractNumId w:val="51"/>
  </w:num>
  <w:num w:numId="21">
    <w:abstractNumId w:val="25"/>
  </w:num>
  <w:num w:numId="22">
    <w:abstractNumId w:val="38"/>
  </w:num>
  <w:num w:numId="23">
    <w:abstractNumId w:val="58"/>
  </w:num>
  <w:num w:numId="24">
    <w:abstractNumId w:val="16"/>
  </w:num>
  <w:num w:numId="25">
    <w:abstractNumId w:val="42"/>
  </w:num>
  <w:num w:numId="26">
    <w:abstractNumId w:val="6"/>
  </w:num>
  <w:num w:numId="27">
    <w:abstractNumId w:val="60"/>
  </w:num>
  <w:num w:numId="28">
    <w:abstractNumId w:val="17"/>
  </w:num>
  <w:num w:numId="29">
    <w:abstractNumId w:val="44"/>
  </w:num>
  <w:num w:numId="30">
    <w:abstractNumId w:val="28"/>
  </w:num>
  <w:num w:numId="31">
    <w:abstractNumId w:val="8"/>
  </w:num>
  <w:num w:numId="32">
    <w:abstractNumId w:val="29"/>
  </w:num>
  <w:num w:numId="33">
    <w:abstractNumId w:val="12"/>
  </w:num>
  <w:num w:numId="34">
    <w:abstractNumId w:val="21"/>
  </w:num>
  <w:num w:numId="35">
    <w:abstractNumId w:val="4"/>
  </w:num>
  <w:num w:numId="36">
    <w:abstractNumId w:val="52"/>
  </w:num>
  <w:num w:numId="37">
    <w:abstractNumId w:val="35"/>
  </w:num>
  <w:num w:numId="38">
    <w:abstractNumId w:val="40"/>
  </w:num>
  <w:num w:numId="39">
    <w:abstractNumId w:val="41"/>
  </w:num>
  <w:num w:numId="40">
    <w:abstractNumId w:val="3"/>
  </w:num>
  <w:num w:numId="41">
    <w:abstractNumId w:val="0"/>
  </w:num>
  <w:num w:numId="42">
    <w:abstractNumId w:val="19"/>
  </w:num>
  <w:num w:numId="43">
    <w:abstractNumId w:val="47"/>
  </w:num>
  <w:num w:numId="44">
    <w:abstractNumId w:val="15"/>
  </w:num>
  <w:num w:numId="45">
    <w:abstractNumId w:val="62"/>
  </w:num>
  <w:num w:numId="46">
    <w:abstractNumId w:val="34"/>
  </w:num>
  <w:num w:numId="47">
    <w:abstractNumId w:val="13"/>
  </w:num>
  <w:num w:numId="48">
    <w:abstractNumId w:val="48"/>
  </w:num>
  <w:num w:numId="49">
    <w:abstractNumId w:val="36"/>
  </w:num>
  <w:num w:numId="50">
    <w:abstractNumId w:val="43"/>
  </w:num>
  <w:num w:numId="51">
    <w:abstractNumId w:val="46"/>
  </w:num>
  <w:num w:numId="52">
    <w:abstractNumId w:val="23"/>
  </w:num>
  <w:num w:numId="53">
    <w:abstractNumId w:val="59"/>
  </w:num>
  <w:num w:numId="54">
    <w:abstractNumId w:val="27"/>
  </w:num>
  <w:num w:numId="55">
    <w:abstractNumId w:val="10"/>
  </w:num>
  <w:num w:numId="56">
    <w:abstractNumId w:val="2"/>
  </w:num>
  <w:num w:numId="57">
    <w:abstractNumId w:val="56"/>
  </w:num>
  <w:num w:numId="58">
    <w:abstractNumId w:val="65"/>
  </w:num>
  <w:num w:numId="59">
    <w:abstractNumId w:val="57"/>
  </w:num>
  <w:num w:numId="60">
    <w:abstractNumId w:val="37"/>
  </w:num>
  <w:num w:numId="61">
    <w:abstractNumId w:val="53"/>
  </w:num>
  <w:num w:numId="62">
    <w:abstractNumId w:val="45"/>
  </w:num>
  <w:num w:numId="63">
    <w:abstractNumId w:val="1"/>
  </w:num>
  <w:num w:numId="64">
    <w:abstractNumId w:val="11"/>
  </w:num>
  <w:num w:numId="65">
    <w:abstractNumId w:val="63"/>
  </w:num>
  <w:num w:numId="66">
    <w:abstractNumId w:val="20"/>
  </w:num>
  <w:num w:numId="67">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26"/>
    <w:rsid w:val="0002560D"/>
    <w:rsid w:val="0006418D"/>
    <w:rsid w:val="00084F9B"/>
    <w:rsid w:val="000A3405"/>
    <w:rsid w:val="000C22F7"/>
    <w:rsid w:val="000F6631"/>
    <w:rsid w:val="00122BC0"/>
    <w:rsid w:val="00152CF7"/>
    <w:rsid w:val="0018353F"/>
    <w:rsid w:val="00192C75"/>
    <w:rsid w:val="001C5BBE"/>
    <w:rsid w:val="001D1295"/>
    <w:rsid w:val="00253333"/>
    <w:rsid w:val="00253EE2"/>
    <w:rsid w:val="00281780"/>
    <w:rsid w:val="002843DD"/>
    <w:rsid w:val="002E2B1B"/>
    <w:rsid w:val="00331BDB"/>
    <w:rsid w:val="003423B9"/>
    <w:rsid w:val="00382335"/>
    <w:rsid w:val="003C1AEF"/>
    <w:rsid w:val="004368FF"/>
    <w:rsid w:val="004838EA"/>
    <w:rsid w:val="005C328C"/>
    <w:rsid w:val="00656474"/>
    <w:rsid w:val="00674679"/>
    <w:rsid w:val="006A5D68"/>
    <w:rsid w:val="006E0F94"/>
    <w:rsid w:val="006E35F8"/>
    <w:rsid w:val="006F5528"/>
    <w:rsid w:val="007050AF"/>
    <w:rsid w:val="007065DF"/>
    <w:rsid w:val="00760108"/>
    <w:rsid w:val="008029AF"/>
    <w:rsid w:val="00827528"/>
    <w:rsid w:val="008E4CC7"/>
    <w:rsid w:val="008F2D3D"/>
    <w:rsid w:val="00900A57"/>
    <w:rsid w:val="009359D8"/>
    <w:rsid w:val="009730F1"/>
    <w:rsid w:val="00A1047B"/>
    <w:rsid w:val="00A27C3B"/>
    <w:rsid w:val="00AA3F8E"/>
    <w:rsid w:val="00AB14A0"/>
    <w:rsid w:val="00AB303B"/>
    <w:rsid w:val="00AC503B"/>
    <w:rsid w:val="00AC68D9"/>
    <w:rsid w:val="00B578F1"/>
    <w:rsid w:val="00C40D1A"/>
    <w:rsid w:val="00C53D42"/>
    <w:rsid w:val="00C71BDC"/>
    <w:rsid w:val="00CF07E0"/>
    <w:rsid w:val="00CF3548"/>
    <w:rsid w:val="00D17026"/>
    <w:rsid w:val="00D436AE"/>
    <w:rsid w:val="00D53960"/>
    <w:rsid w:val="00D55906"/>
    <w:rsid w:val="00D84076"/>
    <w:rsid w:val="00DD0C63"/>
    <w:rsid w:val="00DD49C1"/>
    <w:rsid w:val="00E1199F"/>
    <w:rsid w:val="00E3642C"/>
    <w:rsid w:val="00E90695"/>
    <w:rsid w:val="00EA37BC"/>
    <w:rsid w:val="00EE4EE3"/>
    <w:rsid w:val="00F82DE9"/>
    <w:rsid w:val="00F9251B"/>
    <w:rsid w:val="00F93622"/>
    <w:rsid w:val="00FD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C42B0"/>
  <w14:defaultImageDpi w14:val="300"/>
  <w15:docId w15:val="{92997F0B-94B6-AC42-BF1B-701DAA35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026"/>
    <w:pPr>
      <w:tabs>
        <w:tab w:val="center" w:pos="4320"/>
        <w:tab w:val="right" w:pos="8640"/>
      </w:tabs>
    </w:pPr>
  </w:style>
  <w:style w:type="character" w:customStyle="1" w:styleId="HeaderChar">
    <w:name w:val="Header Char"/>
    <w:basedOn w:val="DefaultParagraphFont"/>
    <w:link w:val="Header"/>
    <w:uiPriority w:val="99"/>
    <w:rsid w:val="00D17026"/>
  </w:style>
  <w:style w:type="paragraph" w:styleId="Footer">
    <w:name w:val="footer"/>
    <w:basedOn w:val="Normal"/>
    <w:link w:val="FooterChar"/>
    <w:uiPriority w:val="99"/>
    <w:unhideWhenUsed/>
    <w:rsid w:val="00D17026"/>
    <w:pPr>
      <w:tabs>
        <w:tab w:val="center" w:pos="4320"/>
        <w:tab w:val="right" w:pos="8640"/>
      </w:tabs>
    </w:pPr>
  </w:style>
  <w:style w:type="character" w:customStyle="1" w:styleId="FooterChar">
    <w:name w:val="Footer Char"/>
    <w:basedOn w:val="DefaultParagraphFont"/>
    <w:link w:val="Footer"/>
    <w:uiPriority w:val="99"/>
    <w:rsid w:val="00D17026"/>
  </w:style>
  <w:style w:type="paragraph" w:styleId="BalloonText">
    <w:name w:val="Balloon Text"/>
    <w:basedOn w:val="Normal"/>
    <w:link w:val="BalloonTextChar"/>
    <w:uiPriority w:val="99"/>
    <w:semiHidden/>
    <w:unhideWhenUsed/>
    <w:rsid w:val="00D17026"/>
    <w:rPr>
      <w:rFonts w:ascii="Lucida Grande" w:hAnsi="Lucida Grande"/>
      <w:sz w:val="18"/>
      <w:szCs w:val="18"/>
    </w:rPr>
  </w:style>
  <w:style w:type="character" w:customStyle="1" w:styleId="BalloonTextChar">
    <w:name w:val="Balloon Text Char"/>
    <w:basedOn w:val="DefaultParagraphFont"/>
    <w:link w:val="BalloonText"/>
    <w:uiPriority w:val="99"/>
    <w:semiHidden/>
    <w:rsid w:val="00D17026"/>
    <w:rPr>
      <w:rFonts w:ascii="Lucida Grande" w:hAnsi="Lucida Grande"/>
      <w:sz w:val="18"/>
      <w:szCs w:val="18"/>
    </w:rPr>
  </w:style>
  <w:style w:type="table" w:customStyle="1" w:styleId="ListTable41">
    <w:name w:val="List Table 41"/>
    <w:basedOn w:val="TableNormal"/>
    <w:next w:val="ListTable4"/>
    <w:uiPriority w:val="49"/>
    <w:rsid w:val="00F82DE9"/>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
    <w:name w:val="List Table 4"/>
    <w:basedOn w:val="TableNormal"/>
    <w:uiPriority w:val="49"/>
    <w:rsid w:val="00F82D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F4C2-EAF3-4E11-A380-BE287ED1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PMA Companies</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Gilbert, John</cp:lastModifiedBy>
  <cp:revision>2</cp:revision>
  <cp:lastPrinted>2018-12-06T16:01:00Z</cp:lastPrinted>
  <dcterms:created xsi:type="dcterms:W3CDTF">2021-08-20T18:56:00Z</dcterms:created>
  <dcterms:modified xsi:type="dcterms:W3CDTF">2021-08-20T18:56:00Z</dcterms:modified>
</cp:coreProperties>
</file>