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C61C" w14:textId="77777777" w:rsidR="00B94134" w:rsidRPr="00B94134" w:rsidRDefault="00B94134" w:rsidP="00B94134">
      <w:pPr>
        <w:spacing w:before="600" w:after="150" w:line="288" w:lineRule="atLeast"/>
        <w:textAlignment w:val="top"/>
        <w:outlineLvl w:val="1"/>
        <w:rPr>
          <w:rFonts w:ascii="Arial" w:eastAsia="Times New Roman" w:hAnsi="Arial" w:cs="Arial"/>
          <w:color w:val="0F95DB"/>
          <w:sz w:val="39"/>
          <w:szCs w:val="39"/>
        </w:rPr>
      </w:pPr>
      <w:r w:rsidRPr="00B94134">
        <w:rPr>
          <w:rFonts w:ascii="Arial" w:eastAsia="Times New Roman" w:hAnsi="Arial" w:cs="Arial"/>
          <w:color w:val="0F95DB"/>
          <w:sz w:val="39"/>
          <w:szCs w:val="39"/>
        </w:rPr>
        <w:t>Protected Classes and Their Definitions</w:t>
      </w:r>
    </w:p>
    <w:p w14:paraId="75940938" w14:textId="73CA858F" w:rsidR="00B94134" w:rsidRPr="00B94134" w:rsidRDefault="00B94134" w:rsidP="00B94134">
      <w:pPr>
        <w:spacing w:after="288" w:line="240" w:lineRule="auto"/>
        <w:textAlignment w:val="top"/>
        <w:rPr>
          <w:rFonts w:ascii="Arial" w:eastAsia="Times New Roman" w:hAnsi="Arial" w:cs="Arial"/>
          <w:color w:val="0A0A0A"/>
          <w:sz w:val="27"/>
          <w:szCs w:val="27"/>
        </w:rPr>
      </w:pPr>
      <w:r w:rsidRPr="00B94134">
        <w:rPr>
          <w:rFonts w:ascii="Arial" w:eastAsia="Times New Roman" w:hAnsi="Arial" w:cs="Arial"/>
          <w:color w:val="0A0A0A"/>
          <w:sz w:val="27"/>
          <w:szCs w:val="27"/>
        </w:rPr>
        <w:t>Applicable to Maryland jurisdictions, updated August 202</w:t>
      </w:r>
      <w:r w:rsidR="00F97C39">
        <w:rPr>
          <w:rFonts w:ascii="Arial" w:eastAsia="Times New Roman" w:hAnsi="Arial" w:cs="Arial"/>
          <w:color w:val="0A0A0A"/>
          <w:sz w:val="27"/>
          <w:szCs w:val="27"/>
        </w:rPr>
        <w:t>1</w:t>
      </w:r>
      <w:r w:rsidRPr="00B94134">
        <w:rPr>
          <w:rFonts w:ascii="Arial" w:eastAsia="Times New Roman" w:hAnsi="Arial" w:cs="Arial"/>
          <w:color w:val="0A0A0A"/>
          <w:sz w:val="27"/>
          <w:szCs w:val="27"/>
        </w:rPr>
        <w:t>.</w:t>
      </w:r>
    </w:p>
    <w:p w14:paraId="4B329C82" w14:textId="77777777" w:rsidR="00B94134" w:rsidRPr="00B94134" w:rsidRDefault="00B94134" w:rsidP="00B94134">
      <w:pPr>
        <w:spacing w:before="600" w:after="150" w:line="288" w:lineRule="atLeast"/>
        <w:textAlignment w:val="top"/>
        <w:outlineLvl w:val="2"/>
        <w:rPr>
          <w:rFonts w:ascii="Arial" w:eastAsia="Times New Roman" w:hAnsi="Arial" w:cs="Arial"/>
          <w:color w:val="0F95DB"/>
          <w:sz w:val="39"/>
          <w:szCs w:val="39"/>
        </w:rPr>
      </w:pPr>
      <w:r w:rsidRPr="00B94134">
        <w:rPr>
          <w:rFonts w:ascii="Arial" w:eastAsia="Times New Roman" w:hAnsi="Arial" w:cs="Arial"/>
          <w:color w:val="0F95DB"/>
          <w:sz w:val="39"/>
          <w:szCs w:val="39"/>
        </w:rPr>
        <w:t>Federal</w:t>
      </w:r>
    </w:p>
    <w:p w14:paraId="6FAB081B" w14:textId="77777777" w:rsidR="00B94134" w:rsidRPr="00B94134" w:rsidRDefault="00B94134" w:rsidP="00B94134">
      <w:pPr>
        <w:numPr>
          <w:ilvl w:val="0"/>
          <w:numId w:val="1"/>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Color:</w:t>
      </w:r>
      <w:r w:rsidRPr="00B94134">
        <w:rPr>
          <w:rFonts w:ascii="Arial" w:eastAsia="Times New Roman" w:hAnsi="Arial" w:cs="Arial"/>
          <w:color w:val="0A0A0A"/>
          <w:sz w:val="27"/>
          <w:szCs w:val="27"/>
        </w:rPr>
        <w:t> Pertaining to a person’s skin color</w:t>
      </w:r>
    </w:p>
    <w:p w14:paraId="0F62EEB2" w14:textId="77777777" w:rsidR="00B94134" w:rsidRPr="00B94134" w:rsidRDefault="00B94134" w:rsidP="00B94134">
      <w:pPr>
        <w:numPr>
          <w:ilvl w:val="0"/>
          <w:numId w:val="1"/>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Familial Status:</w:t>
      </w:r>
      <w:r w:rsidRPr="00B94134">
        <w:rPr>
          <w:rFonts w:ascii="Arial" w:eastAsia="Times New Roman" w:hAnsi="Arial" w:cs="Arial"/>
          <w:color w:val="0A0A0A"/>
          <w:sz w:val="27"/>
          <w:szCs w:val="27"/>
        </w:rPr>
        <w:t> Families in which one or more children under 18 live with: a parent; a person who has legal custody of the child or children; or the designee of the parent or legal custodian, with the parent or custodian’s written permission.  Familial status protection also applies to pregnant women and anyone securing legal custody of a child under 18.</w:t>
      </w:r>
    </w:p>
    <w:p w14:paraId="616BD1F1" w14:textId="77777777" w:rsidR="00B94134" w:rsidRPr="00B94134" w:rsidRDefault="00B94134" w:rsidP="00B94134">
      <w:pPr>
        <w:numPr>
          <w:ilvl w:val="0"/>
          <w:numId w:val="1"/>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National Origin:</w:t>
      </w:r>
      <w:r w:rsidRPr="00B94134">
        <w:rPr>
          <w:rFonts w:ascii="Arial" w:eastAsia="Times New Roman" w:hAnsi="Arial" w:cs="Arial"/>
          <w:color w:val="0A0A0A"/>
          <w:sz w:val="27"/>
          <w:szCs w:val="27"/>
        </w:rPr>
        <w:t> Refers to country of birth.</w:t>
      </w:r>
    </w:p>
    <w:p w14:paraId="0061FBFF" w14:textId="77777777" w:rsidR="00B94134" w:rsidRPr="00B94134" w:rsidRDefault="00B94134" w:rsidP="00B94134">
      <w:pPr>
        <w:numPr>
          <w:ilvl w:val="0"/>
          <w:numId w:val="1"/>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Physical or Mental Disability: </w:t>
      </w:r>
      <w:r w:rsidRPr="00B94134">
        <w:rPr>
          <w:rFonts w:ascii="Arial" w:eastAsia="Times New Roman" w:hAnsi="Arial" w:cs="Arial"/>
          <w:color w:val="0A0A0A"/>
          <w:sz w:val="27"/>
          <w:szCs w:val="27"/>
        </w:rPr>
        <w:t>In reference to you or someone close to you who: has a physical or mental disability (including hearing, mobility and visual impairments, chronic alcoholism, chronic mental illness, AIDS, AIDS-related Complex, and mental retardation) that substantially limits one or more major life activities; has a record of such a disability; or is regarded as having such a disability.</w:t>
      </w:r>
    </w:p>
    <w:p w14:paraId="4A0D1943" w14:textId="77777777" w:rsidR="00B94134" w:rsidRPr="00B94134" w:rsidRDefault="00B94134" w:rsidP="00B94134">
      <w:pPr>
        <w:numPr>
          <w:ilvl w:val="0"/>
          <w:numId w:val="1"/>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Race:</w:t>
      </w:r>
      <w:r w:rsidRPr="00B94134">
        <w:rPr>
          <w:rFonts w:ascii="Arial" w:eastAsia="Times New Roman" w:hAnsi="Arial" w:cs="Arial"/>
          <w:color w:val="0A0A0A"/>
          <w:sz w:val="27"/>
          <w:szCs w:val="27"/>
        </w:rPr>
        <w:t> Categories of physical characteristics and/or genetic groupings of human populations</w:t>
      </w:r>
    </w:p>
    <w:p w14:paraId="738EFEF2" w14:textId="77777777" w:rsidR="00B94134" w:rsidRPr="00B94134" w:rsidRDefault="00B94134" w:rsidP="00B94134">
      <w:pPr>
        <w:numPr>
          <w:ilvl w:val="0"/>
          <w:numId w:val="1"/>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Religion:</w:t>
      </w:r>
      <w:r w:rsidRPr="00B94134">
        <w:rPr>
          <w:rFonts w:ascii="Arial" w:eastAsia="Times New Roman" w:hAnsi="Arial" w:cs="Arial"/>
          <w:color w:val="0A0A0A"/>
          <w:sz w:val="27"/>
          <w:szCs w:val="27"/>
        </w:rPr>
        <w:t> Participation with one of the world’s structured religions; one’s spiritual beliefs; inference of religion by place of worship.</w:t>
      </w:r>
    </w:p>
    <w:p w14:paraId="4FD78FCF" w14:textId="6DAF3A4A" w:rsidR="00B94134" w:rsidRPr="00B94134" w:rsidRDefault="00B94134" w:rsidP="00B94134">
      <w:pPr>
        <w:numPr>
          <w:ilvl w:val="0"/>
          <w:numId w:val="1"/>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Sex:</w:t>
      </w:r>
      <w:r w:rsidRPr="00B94134">
        <w:rPr>
          <w:rFonts w:ascii="Arial" w:eastAsia="Times New Roman" w:hAnsi="Arial" w:cs="Arial"/>
          <w:color w:val="0A0A0A"/>
          <w:sz w:val="27"/>
          <w:szCs w:val="27"/>
        </w:rPr>
        <w:t> Male or female.</w:t>
      </w:r>
      <w:r w:rsidR="00F46608">
        <w:rPr>
          <w:rFonts w:ascii="Arial" w:eastAsia="Times New Roman" w:hAnsi="Arial" w:cs="Arial"/>
          <w:color w:val="0A0A0A"/>
          <w:sz w:val="27"/>
          <w:szCs w:val="27"/>
        </w:rPr>
        <w:t xml:space="preserve"> *including sexual orientation and gender identity</w:t>
      </w:r>
    </w:p>
    <w:p w14:paraId="1BB4E8D2" w14:textId="77777777" w:rsidR="00B94134" w:rsidRPr="00B94134" w:rsidRDefault="00B94134" w:rsidP="00B94134">
      <w:pPr>
        <w:spacing w:before="600" w:after="150" w:line="288" w:lineRule="atLeast"/>
        <w:textAlignment w:val="top"/>
        <w:outlineLvl w:val="2"/>
        <w:rPr>
          <w:rFonts w:ascii="Arial" w:eastAsia="Times New Roman" w:hAnsi="Arial" w:cs="Arial"/>
          <w:color w:val="0F95DB"/>
          <w:sz w:val="39"/>
          <w:szCs w:val="39"/>
        </w:rPr>
      </w:pPr>
      <w:r w:rsidRPr="00B94134">
        <w:rPr>
          <w:rFonts w:ascii="Arial" w:eastAsia="Times New Roman" w:hAnsi="Arial" w:cs="Arial"/>
          <w:color w:val="0F95DB"/>
          <w:sz w:val="39"/>
          <w:szCs w:val="39"/>
        </w:rPr>
        <w:t>Maryland</w:t>
      </w:r>
    </w:p>
    <w:p w14:paraId="065473FE" w14:textId="77777777" w:rsidR="00B94134" w:rsidRPr="00B94134" w:rsidRDefault="00B94134" w:rsidP="00B94134">
      <w:pPr>
        <w:spacing w:after="288" w:line="240" w:lineRule="auto"/>
        <w:textAlignment w:val="top"/>
        <w:rPr>
          <w:rFonts w:ascii="Arial" w:eastAsia="Times New Roman" w:hAnsi="Arial" w:cs="Arial"/>
          <w:color w:val="0A0A0A"/>
          <w:sz w:val="27"/>
          <w:szCs w:val="27"/>
        </w:rPr>
      </w:pPr>
      <w:r w:rsidRPr="00B94134">
        <w:rPr>
          <w:rFonts w:ascii="Arial" w:eastAsia="Times New Roman" w:hAnsi="Arial" w:cs="Arial"/>
          <w:color w:val="0A0A0A"/>
          <w:sz w:val="27"/>
          <w:szCs w:val="27"/>
        </w:rPr>
        <w:t>Includes all federal protections listed above PLUS the following:</w:t>
      </w:r>
    </w:p>
    <w:p w14:paraId="70F2977C" w14:textId="77777777" w:rsidR="00B94134" w:rsidRPr="00B94134" w:rsidRDefault="00B94134" w:rsidP="00B94134">
      <w:pPr>
        <w:numPr>
          <w:ilvl w:val="0"/>
          <w:numId w:val="2"/>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Marital Status: </w:t>
      </w:r>
      <w:r w:rsidRPr="00B94134">
        <w:rPr>
          <w:rFonts w:ascii="Arial" w:eastAsia="Times New Roman" w:hAnsi="Arial" w:cs="Arial"/>
          <w:color w:val="0A0A0A"/>
          <w:sz w:val="27"/>
          <w:szCs w:val="27"/>
        </w:rPr>
        <w:t>The state of being single, married, separated, divorced, or widowed.</w:t>
      </w:r>
    </w:p>
    <w:p w14:paraId="25AA6370" w14:textId="77777777" w:rsidR="00B94134" w:rsidRPr="00B94134" w:rsidRDefault="00B94134" w:rsidP="00B94134">
      <w:pPr>
        <w:numPr>
          <w:ilvl w:val="0"/>
          <w:numId w:val="2"/>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Sexual Orientation: </w:t>
      </w:r>
      <w:r w:rsidRPr="00B94134">
        <w:rPr>
          <w:rFonts w:ascii="Arial" w:eastAsia="Times New Roman" w:hAnsi="Arial" w:cs="Arial"/>
          <w:color w:val="0A0A0A"/>
          <w:sz w:val="27"/>
          <w:szCs w:val="27"/>
        </w:rPr>
        <w:t>The identification of an individual as to male or female homosexuality, heterosexuality, or bisexuality.</w:t>
      </w:r>
    </w:p>
    <w:p w14:paraId="14B58F0A" w14:textId="77777777" w:rsidR="00B94134" w:rsidRPr="00B94134" w:rsidRDefault="00B94134" w:rsidP="00B94134">
      <w:pPr>
        <w:numPr>
          <w:ilvl w:val="0"/>
          <w:numId w:val="2"/>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Gender Identity:</w:t>
      </w:r>
      <w:r w:rsidRPr="00B94134">
        <w:rPr>
          <w:rFonts w:ascii="Arial" w:eastAsia="Times New Roman" w:hAnsi="Arial" w:cs="Arial"/>
          <w:color w:val="0A0A0A"/>
          <w:sz w:val="27"/>
          <w:szCs w:val="27"/>
        </w:rPr>
        <w:t> A person’s consistent and sincere expression of gender-related identity based on appearance, expression or behavior, regardless of the person’s assigned sex at birth.</w:t>
      </w:r>
    </w:p>
    <w:p w14:paraId="143D33D3" w14:textId="77777777" w:rsidR="00B94134" w:rsidRPr="00B94134" w:rsidRDefault="00B94134" w:rsidP="00B94134">
      <w:pPr>
        <w:numPr>
          <w:ilvl w:val="0"/>
          <w:numId w:val="2"/>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lastRenderedPageBreak/>
        <w:t>Source of Income: </w:t>
      </w:r>
      <w:r w:rsidRPr="00B94134">
        <w:rPr>
          <w:rFonts w:ascii="Arial" w:eastAsia="Times New Roman" w:hAnsi="Arial" w:cs="Arial"/>
          <w:color w:val="0A0A0A"/>
          <w:sz w:val="27"/>
          <w:szCs w:val="27"/>
        </w:rPr>
        <w:t>(Effective 10/1/2020) Any lawful source of money that is paid to or for the benefit of a renter or buyer of housing and includes grants, government assistance, alimony, child support, pensions, annuities, legal gifts, or investment earnings.</w:t>
      </w:r>
    </w:p>
    <w:p w14:paraId="0AF9DA2E" w14:textId="77777777" w:rsidR="00B94134" w:rsidRPr="00B94134" w:rsidRDefault="00B94134" w:rsidP="00B94134">
      <w:pPr>
        <w:spacing w:before="600" w:after="150" w:line="288" w:lineRule="atLeast"/>
        <w:textAlignment w:val="top"/>
        <w:outlineLvl w:val="2"/>
        <w:rPr>
          <w:rFonts w:ascii="Arial" w:eastAsia="Times New Roman" w:hAnsi="Arial" w:cs="Arial"/>
          <w:color w:val="0F95DB"/>
          <w:sz w:val="39"/>
          <w:szCs w:val="39"/>
        </w:rPr>
      </w:pPr>
      <w:r w:rsidRPr="00B94134">
        <w:rPr>
          <w:rFonts w:ascii="Arial" w:eastAsia="Times New Roman" w:hAnsi="Arial" w:cs="Arial"/>
          <w:color w:val="0F95DB"/>
          <w:sz w:val="39"/>
          <w:szCs w:val="39"/>
        </w:rPr>
        <w:t>Local/Counties</w:t>
      </w:r>
    </w:p>
    <w:p w14:paraId="2E33D6DA" w14:textId="77777777" w:rsidR="00B94134" w:rsidRPr="00B94134" w:rsidRDefault="00B94134" w:rsidP="00B94134">
      <w:pPr>
        <w:spacing w:after="288" w:line="240" w:lineRule="auto"/>
        <w:textAlignment w:val="top"/>
        <w:rPr>
          <w:rFonts w:ascii="Arial" w:eastAsia="Times New Roman" w:hAnsi="Arial" w:cs="Arial"/>
          <w:color w:val="0A0A0A"/>
          <w:sz w:val="27"/>
          <w:szCs w:val="27"/>
        </w:rPr>
      </w:pPr>
      <w:r w:rsidRPr="00B94134">
        <w:rPr>
          <w:rFonts w:ascii="Arial" w:eastAsia="Times New Roman" w:hAnsi="Arial" w:cs="Arial"/>
          <w:color w:val="0A0A0A"/>
          <w:sz w:val="27"/>
          <w:szCs w:val="27"/>
        </w:rPr>
        <w:t>Includes all federal and state protections listed above PLUS the following:</w:t>
      </w:r>
    </w:p>
    <w:p w14:paraId="15C62F42" w14:textId="77777777" w:rsidR="00B94134" w:rsidRPr="00B94134" w:rsidRDefault="00B94134" w:rsidP="00B94134">
      <w:pPr>
        <w:numPr>
          <w:ilvl w:val="0"/>
          <w:numId w:val="3"/>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Age: </w:t>
      </w:r>
      <w:r w:rsidRPr="00B94134">
        <w:rPr>
          <w:rFonts w:ascii="Arial" w:eastAsia="Times New Roman" w:hAnsi="Arial" w:cs="Arial"/>
          <w:color w:val="0A0A0A"/>
          <w:sz w:val="27"/>
          <w:szCs w:val="27"/>
        </w:rPr>
        <w:t> Generally referring to adults 18 yrs &amp; over. (Baltimore City, Cambridge, Hagerstown, Rockville; Baltimore, Harford, Howard, Montgomery and Prince George’s Counties)</w:t>
      </w:r>
    </w:p>
    <w:p w14:paraId="6F0FA415" w14:textId="77777777" w:rsidR="00B94134" w:rsidRPr="00B94134" w:rsidRDefault="00B94134" w:rsidP="00B94134">
      <w:pPr>
        <w:numPr>
          <w:ilvl w:val="0"/>
          <w:numId w:val="3"/>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Ancestry: </w:t>
      </w:r>
      <w:r w:rsidRPr="00B94134">
        <w:rPr>
          <w:rFonts w:ascii="Arial" w:eastAsia="Times New Roman" w:hAnsi="Arial" w:cs="Arial"/>
          <w:color w:val="0A0A0A"/>
          <w:sz w:val="27"/>
          <w:szCs w:val="27"/>
        </w:rPr>
        <w:t>Line of decent. (Baltimore City, Cambridge, Rockville and Montgomery County)</w:t>
      </w:r>
    </w:p>
    <w:p w14:paraId="4616A0CE" w14:textId="77777777" w:rsidR="00B94134" w:rsidRPr="00B94134" w:rsidRDefault="00B94134" w:rsidP="00B94134">
      <w:pPr>
        <w:numPr>
          <w:ilvl w:val="0"/>
          <w:numId w:val="3"/>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Creed:</w:t>
      </w:r>
      <w:r w:rsidRPr="00B94134">
        <w:rPr>
          <w:rFonts w:ascii="Arial" w:eastAsia="Times New Roman" w:hAnsi="Arial" w:cs="Arial"/>
          <w:color w:val="0A0A0A"/>
          <w:sz w:val="27"/>
          <w:szCs w:val="27"/>
        </w:rPr>
        <w:t> A person’s beliefs; also, a summary of principals or opinions to which someone professes or adheres. (Cambridge, Rockville; Baltimore, Harford, Howard and Montgomery Counties</w:t>
      </w:r>
    </w:p>
    <w:p w14:paraId="6D23DD51" w14:textId="77777777" w:rsidR="00B94134" w:rsidRPr="00B94134" w:rsidRDefault="00B94134" w:rsidP="00B94134">
      <w:pPr>
        <w:numPr>
          <w:ilvl w:val="0"/>
          <w:numId w:val="3"/>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Family Responsibility: </w:t>
      </w:r>
      <w:r w:rsidRPr="00B94134">
        <w:rPr>
          <w:rFonts w:ascii="Arial" w:eastAsia="Times New Roman" w:hAnsi="Arial" w:cs="Arial"/>
          <w:color w:val="0A0A0A"/>
          <w:sz w:val="27"/>
          <w:szCs w:val="27"/>
        </w:rPr>
        <w:t>Refers to decisions based on an assumption of a person’s care giving responsibilities, either childcare or care of another family member. (Montgomery County)</w:t>
      </w:r>
    </w:p>
    <w:p w14:paraId="13EE6E81" w14:textId="77777777" w:rsidR="00B94134" w:rsidRPr="00B94134" w:rsidRDefault="00B94134" w:rsidP="00B94134">
      <w:pPr>
        <w:numPr>
          <w:ilvl w:val="0"/>
          <w:numId w:val="3"/>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Lawful Income: </w:t>
      </w:r>
      <w:r w:rsidRPr="00B94134">
        <w:rPr>
          <w:rFonts w:ascii="Arial" w:eastAsia="Times New Roman" w:hAnsi="Arial" w:cs="Arial"/>
          <w:color w:val="0A0A0A"/>
          <w:sz w:val="27"/>
          <w:szCs w:val="27"/>
        </w:rPr>
        <w:t>See below, ‘Source of Income’. (City of Annapolis)</w:t>
      </w:r>
    </w:p>
    <w:p w14:paraId="3D120AED" w14:textId="77777777" w:rsidR="00B94134" w:rsidRPr="00B94134" w:rsidRDefault="00B94134" w:rsidP="00B94134">
      <w:pPr>
        <w:numPr>
          <w:ilvl w:val="0"/>
          <w:numId w:val="3"/>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Occupation:</w:t>
      </w:r>
      <w:r w:rsidRPr="00B94134">
        <w:rPr>
          <w:rFonts w:ascii="Arial" w:eastAsia="Times New Roman" w:hAnsi="Arial" w:cs="Arial"/>
          <w:color w:val="0A0A0A"/>
          <w:sz w:val="27"/>
          <w:szCs w:val="27"/>
        </w:rPr>
        <w:t> The principal lawful activity of one’s life, generally including students, welfare recipients and retired persons. (Harford, Howard and Prince George’s Counties)</w:t>
      </w:r>
    </w:p>
    <w:p w14:paraId="783A0B8C" w14:textId="77777777" w:rsidR="00B94134" w:rsidRPr="00B94134" w:rsidRDefault="00B94134" w:rsidP="00B94134">
      <w:pPr>
        <w:numPr>
          <w:ilvl w:val="0"/>
          <w:numId w:val="3"/>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Personal Appearance:</w:t>
      </w:r>
      <w:r w:rsidRPr="00B94134">
        <w:rPr>
          <w:rFonts w:ascii="Arial" w:eastAsia="Times New Roman" w:hAnsi="Arial" w:cs="Arial"/>
          <w:color w:val="0A0A0A"/>
          <w:sz w:val="27"/>
          <w:szCs w:val="27"/>
        </w:rPr>
        <w:t> The outward appearance of any person, irrespective of sex, with regard to hair style, facial hair, physical characteristics or manner of dress. Such term shall not relate to the requirement of cleanliness, uniforms or prescribed attire when uniformly applied for admittance to a public accommodation or to a class of employees for a customary or reasonable business. (Harford, Howard and Prince George’s Counties)</w:t>
      </w:r>
    </w:p>
    <w:p w14:paraId="65D9F7D0" w14:textId="77777777" w:rsidR="00B94134" w:rsidRPr="00B94134" w:rsidRDefault="00B94134" w:rsidP="00B94134">
      <w:pPr>
        <w:numPr>
          <w:ilvl w:val="0"/>
          <w:numId w:val="3"/>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Political Opinion:</w:t>
      </w:r>
      <w:r w:rsidRPr="00B94134">
        <w:rPr>
          <w:rFonts w:ascii="Arial" w:eastAsia="Times New Roman" w:hAnsi="Arial" w:cs="Arial"/>
          <w:color w:val="0A0A0A"/>
          <w:sz w:val="27"/>
          <w:szCs w:val="27"/>
        </w:rPr>
        <w:t> The opinion of persons relating to government, the conduct of government, political parties, candidates for election or elected office-holders. (Harford, Howard and Prince George’s Counties)</w:t>
      </w:r>
    </w:p>
    <w:p w14:paraId="7604CD70" w14:textId="77777777" w:rsidR="00B94134" w:rsidRPr="00B94134" w:rsidRDefault="00B94134" w:rsidP="00B94134">
      <w:pPr>
        <w:numPr>
          <w:ilvl w:val="0"/>
          <w:numId w:val="3"/>
        </w:numPr>
        <w:spacing w:before="100" w:beforeAutospacing="1" w:after="100" w:afterAutospacing="1" w:line="240" w:lineRule="auto"/>
        <w:textAlignment w:val="top"/>
        <w:rPr>
          <w:rFonts w:ascii="Arial" w:eastAsia="Times New Roman" w:hAnsi="Arial" w:cs="Arial"/>
          <w:color w:val="0A0A0A"/>
          <w:sz w:val="27"/>
          <w:szCs w:val="27"/>
        </w:rPr>
      </w:pPr>
      <w:r w:rsidRPr="00B94134">
        <w:rPr>
          <w:rFonts w:ascii="Arial" w:eastAsia="Times New Roman" w:hAnsi="Arial" w:cs="Arial"/>
          <w:b/>
          <w:bCs/>
          <w:color w:val="0A0A0A"/>
          <w:sz w:val="27"/>
          <w:szCs w:val="27"/>
        </w:rPr>
        <w:t>Presence of Children:</w:t>
      </w:r>
      <w:r w:rsidRPr="00B94134">
        <w:rPr>
          <w:rFonts w:ascii="Arial" w:eastAsia="Times New Roman" w:hAnsi="Arial" w:cs="Arial"/>
          <w:color w:val="0A0A0A"/>
          <w:sz w:val="27"/>
          <w:szCs w:val="27"/>
        </w:rPr>
        <w:t> Households that include the temporary custody or permanent occupancy of persons under the age of 18 years. (Rockville and Montgomery Co.)</w:t>
      </w:r>
    </w:p>
    <w:p w14:paraId="13BF4D68" w14:textId="77777777" w:rsidR="00B94134" w:rsidRDefault="00B94134" w:rsidP="00B94134">
      <w:pPr>
        <w:spacing w:before="600" w:after="150" w:line="288" w:lineRule="atLeast"/>
        <w:jc w:val="center"/>
        <w:outlineLvl w:val="1"/>
        <w:rPr>
          <w:rFonts w:ascii="Arial" w:eastAsia="Times New Roman" w:hAnsi="Arial" w:cs="Arial"/>
          <w:color w:val="0F95DB"/>
          <w:sz w:val="39"/>
          <w:szCs w:val="39"/>
        </w:rPr>
      </w:pPr>
    </w:p>
    <w:p w14:paraId="314A2A97" w14:textId="6F65140E" w:rsidR="00B94134" w:rsidRPr="00B94134" w:rsidRDefault="00B94134" w:rsidP="00B94134">
      <w:pPr>
        <w:spacing w:before="600" w:after="150" w:line="288" w:lineRule="atLeast"/>
        <w:jc w:val="center"/>
        <w:outlineLvl w:val="1"/>
        <w:rPr>
          <w:rFonts w:ascii="Arial" w:eastAsia="Times New Roman" w:hAnsi="Arial" w:cs="Arial"/>
          <w:color w:val="0F95DB"/>
          <w:sz w:val="39"/>
          <w:szCs w:val="39"/>
        </w:rPr>
      </w:pPr>
      <w:r w:rsidRPr="00B94134">
        <w:rPr>
          <w:rFonts w:ascii="Arial" w:eastAsia="Times New Roman" w:hAnsi="Arial" w:cs="Arial"/>
          <w:color w:val="0F95DB"/>
          <w:sz w:val="39"/>
          <w:szCs w:val="39"/>
        </w:rPr>
        <w:lastRenderedPageBreak/>
        <w:t>Reporting Violations</w:t>
      </w:r>
    </w:p>
    <w:p w14:paraId="0550A1B9" w14:textId="77777777" w:rsidR="00B94134" w:rsidRPr="00B94134" w:rsidRDefault="00B94134" w:rsidP="00B94134">
      <w:pPr>
        <w:spacing w:after="225" w:line="288" w:lineRule="atLeast"/>
        <w:outlineLvl w:val="3"/>
        <w:rPr>
          <w:rFonts w:ascii="Arial" w:eastAsia="Times New Roman" w:hAnsi="Arial" w:cs="Arial"/>
          <w:color w:val="0F95DB"/>
          <w:sz w:val="36"/>
          <w:szCs w:val="36"/>
        </w:rPr>
      </w:pPr>
      <w:r w:rsidRPr="00B94134">
        <w:rPr>
          <w:rFonts w:ascii="Arial" w:eastAsia="Times New Roman" w:hAnsi="Arial" w:cs="Arial"/>
          <w:color w:val="0F95DB"/>
          <w:sz w:val="36"/>
          <w:szCs w:val="36"/>
        </w:rPr>
        <w:t>Housing Discrimination</w:t>
      </w:r>
    </w:p>
    <w:p w14:paraId="0158F8E6" w14:textId="77777777" w:rsidR="00B94134" w:rsidRPr="00B94134" w:rsidRDefault="00B94134" w:rsidP="00B94134">
      <w:pPr>
        <w:spacing w:after="288" w:line="240" w:lineRule="auto"/>
        <w:rPr>
          <w:rFonts w:ascii="Arial" w:eastAsia="Times New Roman" w:hAnsi="Arial" w:cs="Arial"/>
          <w:color w:val="0A0A0A"/>
          <w:sz w:val="27"/>
          <w:szCs w:val="27"/>
        </w:rPr>
      </w:pPr>
      <w:r w:rsidRPr="00B94134">
        <w:rPr>
          <w:rFonts w:ascii="Arial" w:eastAsia="Times New Roman" w:hAnsi="Arial" w:cs="Arial"/>
          <w:color w:val="0A0A0A"/>
          <w:sz w:val="27"/>
          <w:szCs w:val="27"/>
        </w:rPr>
        <w:t>If you feel that you’ve been a victim of housing discrimination contact the </w:t>
      </w:r>
      <w:hyperlink r:id="rId6" w:tgtFrame="_blank" w:history="1">
        <w:r w:rsidRPr="00B94134">
          <w:rPr>
            <w:rFonts w:ascii="Arial" w:eastAsia="Times New Roman" w:hAnsi="Arial" w:cs="Arial"/>
            <w:color w:val="0F95DB"/>
            <w:sz w:val="27"/>
            <w:szCs w:val="27"/>
            <w:u w:val="single"/>
          </w:rPr>
          <w:t>Maryland Commission on Civil Rights</w:t>
        </w:r>
      </w:hyperlink>
      <w:r w:rsidRPr="00B94134">
        <w:rPr>
          <w:rFonts w:ascii="Arial" w:eastAsia="Times New Roman" w:hAnsi="Arial" w:cs="Arial"/>
          <w:color w:val="0A0A0A"/>
          <w:sz w:val="27"/>
          <w:szCs w:val="27"/>
        </w:rPr>
        <w:t> to file a complaint</w:t>
      </w:r>
    </w:p>
    <w:p w14:paraId="4D5135FE" w14:textId="77777777" w:rsidR="00B94134" w:rsidRPr="00B94134" w:rsidRDefault="00B94134" w:rsidP="00B94134">
      <w:pPr>
        <w:spacing w:after="225" w:line="288" w:lineRule="atLeast"/>
        <w:outlineLvl w:val="3"/>
        <w:rPr>
          <w:rFonts w:ascii="Arial" w:eastAsia="Times New Roman" w:hAnsi="Arial" w:cs="Arial"/>
          <w:color w:val="0F95DB"/>
          <w:sz w:val="36"/>
          <w:szCs w:val="36"/>
        </w:rPr>
      </w:pPr>
      <w:r w:rsidRPr="00B94134">
        <w:rPr>
          <w:rFonts w:ascii="Arial" w:eastAsia="Times New Roman" w:hAnsi="Arial" w:cs="Arial"/>
          <w:color w:val="0F95DB"/>
          <w:sz w:val="36"/>
          <w:szCs w:val="36"/>
        </w:rPr>
        <w:t>Fair Housing Violiation</w:t>
      </w:r>
    </w:p>
    <w:p w14:paraId="3F913215" w14:textId="77777777" w:rsidR="00B94134" w:rsidRPr="00B94134" w:rsidRDefault="00B94134" w:rsidP="00B94134">
      <w:pPr>
        <w:spacing w:after="288" w:line="240" w:lineRule="auto"/>
        <w:rPr>
          <w:rFonts w:ascii="Arial" w:eastAsia="Times New Roman" w:hAnsi="Arial" w:cs="Arial"/>
          <w:color w:val="0A0A0A"/>
          <w:sz w:val="27"/>
          <w:szCs w:val="27"/>
        </w:rPr>
      </w:pPr>
      <w:r w:rsidRPr="00B94134">
        <w:rPr>
          <w:rFonts w:ascii="Arial" w:eastAsia="Times New Roman" w:hAnsi="Arial" w:cs="Arial"/>
          <w:color w:val="0A0A0A"/>
          <w:sz w:val="27"/>
          <w:szCs w:val="27"/>
        </w:rPr>
        <w:t>If a REALTOR® has been involved in a fair housing violation, you may file a complaint with the </w:t>
      </w:r>
      <w:hyperlink r:id="rId7" w:tgtFrame="_blank" w:history="1">
        <w:r w:rsidRPr="00B94134">
          <w:rPr>
            <w:rFonts w:ascii="Arial" w:eastAsia="Times New Roman" w:hAnsi="Arial" w:cs="Arial"/>
            <w:color w:val="0F95DB"/>
            <w:sz w:val="27"/>
            <w:szCs w:val="27"/>
            <w:u w:val="single"/>
          </w:rPr>
          <w:t>Maryland Real Estate Commission</w:t>
        </w:r>
      </w:hyperlink>
      <w:r w:rsidRPr="00B94134">
        <w:rPr>
          <w:rFonts w:ascii="Arial" w:eastAsia="Times New Roman" w:hAnsi="Arial" w:cs="Arial"/>
          <w:color w:val="0A0A0A"/>
          <w:sz w:val="27"/>
          <w:szCs w:val="27"/>
        </w:rPr>
        <w:t>.</w:t>
      </w:r>
    </w:p>
    <w:p w14:paraId="076058AC" w14:textId="77777777" w:rsidR="00CB3877" w:rsidRDefault="00CB3877"/>
    <w:sectPr w:rsidR="00CB3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394F"/>
    <w:multiLevelType w:val="multilevel"/>
    <w:tmpl w:val="94C0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B13BC"/>
    <w:multiLevelType w:val="multilevel"/>
    <w:tmpl w:val="7D3A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15891"/>
    <w:multiLevelType w:val="multilevel"/>
    <w:tmpl w:val="E35C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34"/>
    <w:rsid w:val="00B94134"/>
    <w:rsid w:val="00CB3877"/>
    <w:rsid w:val="00F46608"/>
    <w:rsid w:val="00F9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3236"/>
  <w15:chartTrackingRefBased/>
  <w15:docId w15:val="{BB638454-7FEF-4163-BFA1-D7DCCB43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08086">
      <w:bodyDiv w:val="1"/>
      <w:marLeft w:val="0"/>
      <w:marRight w:val="0"/>
      <w:marTop w:val="0"/>
      <w:marBottom w:val="0"/>
      <w:divBdr>
        <w:top w:val="none" w:sz="0" w:space="0" w:color="auto"/>
        <w:left w:val="none" w:sz="0" w:space="0" w:color="auto"/>
        <w:bottom w:val="none" w:sz="0" w:space="0" w:color="auto"/>
        <w:right w:val="none" w:sz="0" w:space="0" w:color="auto"/>
      </w:divBdr>
      <w:divsChild>
        <w:div w:id="381250256">
          <w:marLeft w:val="0"/>
          <w:marRight w:val="0"/>
          <w:marTop w:val="0"/>
          <w:marBottom w:val="0"/>
          <w:divBdr>
            <w:top w:val="none" w:sz="0" w:space="0" w:color="auto"/>
            <w:left w:val="none" w:sz="0" w:space="0" w:color="auto"/>
            <w:bottom w:val="none" w:sz="0" w:space="0" w:color="auto"/>
            <w:right w:val="none" w:sz="0" w:space="0" w:color="auto"/>
          </w:divBdr>
          <w:divsChild>
            <w:div w:id="2045280063">
              <w:marLeft w:val="0"/>
              <w:marRight w:val="0"/>
              <w:marTop w:val="0"/>
              <w:marBottom w:val="0"/>
              <w:divBdr>
                <w:top w:val="none" w:sz="0" w:space="0" w:color="auto"/>
                <w:left w:val="none" w:sz="0" w:space="0" w:color="auto"/>
                <w:bottom w:val="none" w:sz="0" w:space="0" w:color="auto"/>
                <w:right w:val="none" w:sz="0" w:space="0" w:color="auto"/>
              </w:divBdr>
              <w:divsChild>
                <w:div w:id="1872647661">
                  <w:marLeft w:val="0"/>
                  <w:marRight w:val="0"/>
                  <w:marTop w:val="0"/>
                  <w:marBottom w:val="0"/>
                  <w:divBdr>
                    <w:top w:val="none" w:sz="0" w:space="0" w:color="auto"/>
                    <w:left w:val="none" w:sz="0" w:space="0" w:color="auto"/>
                    <w:bottom w:val="none" w:sz="0" w:space="0" w:color="auto"/>
                    <w:right w:val="none" w:sz="0" w:space="0" w:color="auto"/>
                  </w:divBdr>
                </w:div>
              </w:divsChild>
            </w:div>
            <w:div w:id="2034915595">
              <w:marLeft w:val="0"/>
              <w:marRight w:val="0"/>
              <w:marTop w:val="375"/>
              <w:marBottom w:val="0"/>
              <w:divBdr>
                <w:top w:val="none" w:sz="0" w:space="0" w:color="auto"/>
                <w:left w:val="none" w:sz="0" w:space="0" w:color="auto"/>
                <w:bottom w:val="none" w:sz="0" w:space="0" w:color="auto"/>
                <w:right w:val="none" w:sz="0" w:space="0" w:color="auto"/>
              </w:divBdr>
              <w:divsChild>
                <w:div w:id="995038809">
                  <w:marLeft w:val="0"/>
                  <w:marRight w:val="0"/>
                  <w:marTop w:val="0"/>
                  <w:marBottom w:val="0"/>
                  <w:divBdr>
                    <w:top w:val="none" w:sz="0" w:space="0" w:color="auto"/>
                    <w:left w:val="none" w:sz="0" w:space="0" w:color="auto"/>
                    <w:bottom w:val="none" w:sz="0" w:space="0" w:color="auto"/>
                    <w:right w:val="none" w:sz="0" w:space="0" w:color="auto"/>
                  </w:divBdr>
                </w:div>
                <w:div w:id="1852261520">
                  <w:marLeft w:val="0"/>
                  <w:marRight w:val="0"/>
                  <w:marTop w:val="0"/>
                  <w:marBottom w:val="0"/>
                  <w:divBdr>
                    <w:top w:val="none" w:sz="0" w:space="0" w:color="auto"/>
                    <w:left w:val="none" w:sz="0" w:space="0" w:color="auto"/>
                    <w:bottom w:val="none" w:sz="0" w:space="0" w:color="auto"/>
                    <w:right w:val="none" w:sz="0" w:space="0" w:color="auto"/>
                  </w:divBdr>
                </w:div>
                <w:div w:id="16020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llr.state.md.us/license/mrec/mreccomp.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ccr.maryland.gov/Intak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102F0-4812-463B-B71D-887F1FE3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Gilbert</dc:creator>
  <cp:keywords/>
  <dc:description/>
  <cp:lastModifiedBy>John Gilbert</cp:lastModifiedBy>
  <cp:revision>3</cp:revision>
  <cp:lastPrinted>2021-03-25T13:51:00Z</cp:lastPrinted>
  <dcterms:created xsi:type="dcterms:W3CDTF">2021-03-25T13:50:00Z</dcterms:created>
  <dcterms:modified xsi:type="dcterms:W3CDTF">2021-08-19T16:39:00Z</dcterms:modified>
</cp:coreProperties>
</file>